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C79DC9" w14:textId="0DB63ED0" w:rsidR="002C7218" w:rsidRPr="00CE0424" w:rsidRDefault="002C7218" w:rsidP="002C7218">
      <w:pPr>
        <w:pStyle w:val="3GPPHeader"/>
        <w:spacing w:after="60"/>
        <w:rPr>
          <w:sz w:val="32"/>
          <w:szCs w:val="32"/>
          <w:highlight w:val="yellow"/>
        </w:rPr>
      </w:pPr>
      <w:r w:rsidRPr="000A1D33">
        <w:t>3GPP TSG-RAN WG1 Meeting #</w:t>
      </w:r>
      <w:r>
        <w:t>92</w:t>
      </w:r>
      <w:r w:rsidRPr="00CE0424">
        <w:tab/>
      </w:r>
      <w:r w:rsidR="00CA6BF4" w:rsidRPr="00CA6BF4">
        <w:rPr>
          <w:sz w:val="32"/>
          <w:szCs w:val="32"/>
        </w:rPr>
        <w:t>R1-1802779</w:t>
      </w:r>
      <w:bookmarkStart w:id="0" w:name="_GoBack"/>
      <w:bookmarkEnd w:id="0"/>
    </w:p>
    <w:p w14:paraId="7FFCEE60" w14:textId="77777777" w:rsidR="002C7218" w:rsidRPr="00CE0424" w:rsidRDefault="002C7218" w:rsidP="002C7218">
      <w:pPr>
        <w:pStyle w:val="3GPPHeader"/>
      </w:pPr>
      <w:r>
        <w:t>Athens</w:t>
      </w:r>
      <w:r w:rsidRPr="000A1D33">
        <w:t xml:space="preserve">, </w:t>
      </w:r>
      <w:r>
        <w:t>Greece,</w:t>
      </w:r>
      <w:r w:rsidRPr="000A1D33">
        <w:t xml:space="preserve"> </w:t>
      </w:r>
      <w:r>
        <w:t>26</w:t>
      </w:r>
      <w:r w:rsidRPr="002C5BA4">
        <w:rPr>
          <w:vertAlign w:val="superscript"/>
        </w:rPr>
        <w:t>th</w:t>
      </w:r>
      <w:r>
        <w:t xml:space="preserve"> Feb. – 2</w:t>
      </w:r>
      <w:r w:rsidRPr="00245837">
        <w:rPr>
          <w:vertAlign w:val="superscript"/>
        </w:rPr>
        <w:t>nd</w:t>
      </w:r>
      <w:r>
        <w:t xml:space="preserve"> March</w:t>
      </w:r>
      <w:r w:rsidRPr="000A1D33">
        <w:t xml:space="preserve"> 201</w:t>
      </w:r>
      <w:r>
        <w:t>8</w:t>
      </w:r>
    </w:p>
    <w:p w14:paraId="4190D553" w14:textId="77777777" w:rsidR="00E90E49" w:rsidRPr="00CE0424" w:rsidRDefault="00E90E49" w:rsidP="00357380">
      <w:pPr>
        <w:pStyle w:val="3GPPHeader"/>
      </w:pPr>
    </w:p>
    <w:p w14:paraId="126A5E11" w14:textId="3675C3C8" w:rsidR="002C7218" w:rsidRPr="002C7218" w:rsidRDefault="002C7218" w:rsidP="002C7218">
      <w:pPr>
        <w:pStyle w:val="3GPPHeader"/>
        <w:rPr>
          <w:sz w:val="22"/>
          <w:szCs w:val="22"/>
        </w:rPr>
      </w:pPr>
      <w:r w:rsidRPr="002C7218">
        <w:rPr>
          <w:sz w:val="22"/>
          <w:szCs w:val="22"/>
        </w:rPr>
        <w:t>Agenda Item:</w:t>
      </w:r>
      <w:r w:rsidRPr="002C7218">
        <w:rPr>
          <w:sz w:val="22"/>
          <w:szCs w:val="22"/>
        </w:rPr>
        <w:tab/>
        <w:t>7.6.5 Others</w:t>
      </w:r>
    </w:p>
    <w:p w14:paraId="088F542C" w14:textId="2B165291" w:rsidR="00E90E49" w:rsidRPr="00CE0424" w:rsidRDefault="003D3C45" w:rsidP="00F64C2B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D9CCAF6" w14:textId="5F6FE34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5F5209">
        <w:rPr>
          <w:sz w:val="22"/>
          <w:szCs w:val="22"/>
        </w:rPr>
        <w:t xml:space="preserve">On </w:t>
      </w:r>
      <w:r w:rsidR="00B519BD">
        <w:rPr>
          <w:sz w:val="22"/>
          <w:szCs w:val="22"/>
        </w:rPr>
        <w:t xml:space="preserve">Frame Structure </w:t>
      </w:r>
      <w:r w:rsidR="006F1C0A" w:rsidRPr="006F1C0A">
        <w:rPr>
          <w:sz w:val="22"/>
          <w:szCs w:val="22"/>
        </w:rPr>
        <w:t>for NR in Unlicensed Spectrum</w:t>
      </w:r>
    </w:p>
    <w:p w14:paraId="79A6BD3B" w14:textId="2AF80A81" w:rsidR="00E90E49" w:rsidRPr="00B519BD" w:rsidRDefault="00E90E49" w:rsidP="00B519BD">
      <w:pPr>
        <w:pStyle w:val="3GPPHeader"/>
        <w:rPr>
          <w:sz w:val="22"/>
          <w:szCs w:val="22"/>
        </w:rPr>
      </w:pPr>
      <w:r w:rsidRPr="00291F26">
        <w:rPr>
          <w:sz w:val="22"/>
          <w:szCs w:val="22"/>
        </w:rPr>
        <w:t>Document for:</w:t>
      </w:r>
      <w:r w:rsidRPr="00291F26">
        <w:rPr>
          <w:sz w:val="22"/>
          <w:szCs w:val="22"/>
        </w:rPr>
        <w:tab/>
      </w:r>
      <w:r w:rsidRPr="00B519BD">
        <w:rPr>
          <w:b w:val="0"/>
          <w:bCs/>
          <w:sz w:val="22"/>
          <w:szCs w:val="22"/>
        </w:rPr>
        <w:t>Discussion, Decision</w:t>
      </w:r>
    </w:p>
    <w:p w14:paraId="0CB66C7C" w14:textId="1F6EA96A" w:rsidR="00C24345" w:rsidRDefault="00E90E49" w:rsidP="00A2052C">
      <w:pPr>
        <w:pStyle w:val="Heading1"/>
      </w:pPr>
      <w:r w:rsidRPr="00CE0424">
        <w:t>Introduction</w:t>
      </w:r>
    </w:p>
    <w:p w14:paraId="3076EB27" w14:textId="69AB7B33" w:rsidR="009620B3" w:rsidRPr="00097904" w:rsidRDefault="00097904" w:rsidP="00097904">
      <w:pPr>
        <w:pStyle w:val="BodyText"/>
        <w:rPr>
          <w:rFonts w:ascii="Times New Roman" w:hAnsi="Times New Roman"/>
          <w:lang w:val="en-US" w:eastAsia="en-US"/>
        </w:rPr>
      </w:pPr>
      <w:proofErr w:type="gramStart"/>
      <w:r>
        <w:t>In order to</w:t>
      </w:r>
      <w:proofErr w:type="gramEnd"/>
      <w:r>
        <w:t xml:space="preserve"> efficiently utilize the large amounts of unlicensed spectrum available worldwide, both licensed operation and unlicensed operation are considered for NR. At RAN-7</w:t>
      </w:r>
      <w:r w:rsidR="002C7218">
        <w:t>6</w:t>
      </w:r>
      <w:r>
        <w:t xml:space="preserve">, a study item on NR-based Access to Unlicensed Spectrum was approved </w:t>
      </w:r>
      <w:r>
        <w:fldChar w:fldCharType="begin"/>
      </w:r>
      <w:r>
        <w:instrText xml:space="preserve"> REF _Ref481486326 \r \h </w:instrText>
      </w:r>
      <w:r>
        <w:fldChar w:fldCharType="separate"/>
      </w:r>
      <w:r>
        <w:t>[1]</w:t>
      </w:r>
      <w:r>
        <w:fldChar w:fldCharType="end"/>
      </w:r>
      <w:r>
        <w:t>.</w:t>
      </w:r>
      <w:r w:rsidRPr="00097904">
        <w:t xml:space="preserve"> </w:t>
      </w:r>
      <w:r>
        <w:t xml:space="preserve">In this contribution, we discuss NR-U frame structure. </w:t>
      </w:r>
    </w:p>
    <w:p w14:paraId="141091B9" w14:textId="3B6177DC" w:rsidR="00A56357" w:rsidRDefault="005F5209" w:rsidP="00CE0424">
      <w:pPr>
        <w:pStyle w:val="Heading1"/>
      </w:pPr>
      <w:bookmarkStart w:id="1" w:name="_Ref178064866"/>
      <w:r>
        <w:t xml:space="preserve">Discussions </w:t>
      </w:r>
    </w:p>
    <w:bookmarkEnd w:id="1"/>
    <w:p w14:paraId="567C98F3" w14:textId="53EC8162" w:rsidR="00FD14DB" w:rsidRDefault="00FD14DB" w:rsidP="00615618">
      <w:pPr>
        <w:pStyle w:val="Heading2"/>
      </w:pPr>
      <w:r>
        <w:t>NR Frame Structure</w:t>
      </w:r>
    </w:p>
    <w:p w14:paraId="49DFEB7E" w14:textId="77777777" w:rsidR="00A01B7D" w:rsidRDefault="007B68FC" w:rsidP="00460C54">
      <w:pPr>
        <w:rPr>
          <w:lang w:val="en-US"/>
        </w:rPr>
      </w:pPr>
      <w:r w:rsidRPr="00FD14DB">
        <w:rPr>
          <w:lang w:val="en-US"/>
        </w:rPr>
        <w:t xml:space="preserve">NR supports </w:t>
      </w:r>
      <w:proofErr w:type="spellStart"/>
      <w:r w:rsidRPr="00FD14DB">
        <w:rPr>
          <w:lang w:val="en-US"/>
        </w:rPr>
        <w:t>FDD</w:t>
      </w:r>
      <w:proofErr w:type="spellEnd"/>
      <w:r w:rsidRPr="00FD14DB">
        <w:rPr>
          <w:lang w:val="en-US"/>
        </w:rPr>
        <w:t xml:space="preserve">, dynamic </w:t>
      </w:r>
      <w:proofErr w:type="spellStart"/>
      <w:r w:rsidRPr="00FD14DB">
        <w:rPr>
          <w:lang w:val="en-US"/>
        </w:rPr>
        <w:t>TDD</w:t>
      </w:r>
      <w:proofErr w:type="spellEnd"/>
      <w:r w:rsidRPr="00FD14DB">
        <w:rPr>
          <w:lang w:val="en-US"/>
        </w:rPr>
        <w:t xml:space="preserve">, and </w:t>
      </w:r>
      <w:proofErr w:type="spellStart"/>
      <w:r w:rsidRPr="00FD14DB">
        <w:rPr>
          <w:lang w:val="en-US"/>
        </w:rPr>
        <w:t>TDD</w:t>
      </w:r>
      <w:proofErr w:type="spellEnd"/>
      <w:r w:rsidRPr="00FD14DB">
        <w:rPr>
          <w:lang w:val="en-US"/>
        </w:rPr>
        <w:t xml:space="preserve"> with semi-statically configured UL/DL configuration</w:t>
      </w:r>
      <w:r>
        <w:rPr>
          <w:lang w:val="en-US"/>
        </w:rPr>
        <w:t xml:space="preserve">. </w:t>
      </w:r>
    </w:p>
    <w:p w14:paraId="332C78E0" w14:textId="27F700A1" w:rsidR="00FD14DB" w:rsidRDefault="00A01B7D" w:rsidP="00460C54">
      <w:pPr>
        <w:rPr>
          <w:lang w:val="en-US"/>
        </w:rPr>
      </w:pPr>
      <w:r w:rsidRPr="00B519BD">
        <w:rPr>
          <w:lang w:val="en-US"/>
        </w:rPr>
        <w:t xml:space="preserve">In </w:t>
      </w:r>
      <w:r w:rsidR="00FD14DB" w:rsidRPr="00B519BD">
        <w:t xml:space="preserve">dynamic </w:t>
      </w:r>
      <w:proofErr w:type="spellStart"/>
      <w:r w:rsidR="00FD14DB" w:rsidRPr="00B519BD">
        <w:t>TDD</w:t>
      </w:r>
      <w:proofErr w:type="spellEnd"/>
      <w:r w:rsidRPr="00B519BD">
        <w:t xml:space="preserve"> case</w:t>
      </w:r>
      <w:r w:rsidR="00FD14DB" w:rsidRPr="00B519BD">
        <w:t xml:space="preserve"> </w:t>
      </w:r>
      <w:r w:rsidRPr="00B519BD">
        <w:t xml:space="preserve">the slot, or part of it, carrying data is </w:t>
      </w:r>
      <w:r w:rsidR="00FD14DB" w:rsidRPr="00B519BD">
        <w:t>assignable to either uplink or downlink on a dynamic basis under the control of the scheduler</w:t>
      </w:r>
      <w:r w:rsidR="007B68FC" w:rsidRPr="00B519BD">
        <w:t>. The UE simply follows the scheduling assignments and grants</w:t>
      </w:r>
      <w:r w:rsidR="007B68FC">
        <w:t xml:space="preserve"> received from the scheduler. If a downlink assignment is received for a certain time interval (e.g. a slot), the UE receives and processes the downlink data. Similarly, if an uplink grant is received, instructing the UE to transmit in a certain time interval, the UE does so.</w:t>
      </w:r>
    </w:p>
    <w:p w14:paraId="11B9E65D" w14:textId="466C30F4" w:rsidR="00A608CC" w:rsidRPr="00437D6F" w:rsidRDefault="004D2F04" w:rsidP="00460C54">
      <w:pPr>
        <w:rPr>
          <w:lang w:val="en-US"/>
        </w:rPr>
      </w:pPr>
      <w:r>
        <w:rPr>
          <w:lang w:val="en-US"/>
        </w:rPr>
        <w:t>The s</w:t>
      </w:r>
      <w:r w:rsidR="001D2DEA" w:rsidRPr="004D2F04">
        <w:rPr>
          <w:lang w:val="en-US"/>
        </w:rPr>
        <w:t>emi-stati</w:t>
      </w:r>
      <w:r>
        <w:rPr>
          <w:lang w:val="en-US"/>
        </w:rPr>
        <w:t xml:space="preserve">c DL/UL assignment is done via </w:t>
      </w:r>
      <w:r w:rsidR="001D2DEA" w:rsidRPr="004D2F04">
        <w:rPr>
          <w:lang w:val="en-US"/>
        </w:rPr>
        <w:t xml:space="preserve">cell-specific </w:t>
      </w:r>
      <w:r>
        <w:rPr>
          <w:lang w:val="en-US"/>
        </w:rPr>
        <w:t>and</w:t>
      </w:r>
      <w:r w:rsidR="001D2DEA" w:rsidRPr="004D2F04">
        <w:rPr>
          <w:lang w:val="en-US"/>
        </w:rPr>
        <w:t xml:space="preserve"> UE-specific </w:t>
      </w:r>
      <w:proofErr w:type="spellStart"/>
      <w:r w:rsidR="001D2DEA" w:rsidRPr="004D2F04">
        <w:rPr>
          <w:lang w:val="en-US"/>
        </w:rPr>
        <w:t>RRC</w:t>
      </w:r>
      <w:proofErr w:type="spellEnd"/>
      <w:r w:rsidR="001D2DEA" w:rsidRPr="004D2F04">
        <w:rPr>
          <w:lang w:val="en-US"/>
        </w:rPr>
        <w:t xml:space="preserve"> configuration</w:t>
      </w:r>
      <w:r>
        <w:rPr>
          <w:lang w:val="en-US"/>
        </w:rPr>
        <w:t xml:space="preserve">. </w:t>
      </w:r>
      <w:r w:rsidR="00460C54">
        <w:rPr>
          <w:lang w:val="en-US"/>
        </w:rPr>
        <w:t>W</w:t>
      </w:r>
      <w:r>
        <w:rPr>
          <w:lang w:val="en-US"/>
        </w:rPr>
        <w:t>ith the cell-specific configuration, the UE is allocated a DL-unknown-UL pattern.</w:t>
      </w:r>
      <w:r w:rsidRPr="00460C54">
        <w:rPr>
          <w:lang w:val="en-US"/>
        </w:rPr>
        <w:t xml:space="preserve"> </w:t>
      </w:r>
      <w:r w:rsidR="00460C54">
        <w:rPr>
          <w:lang w:val="en-US"/>
        </w:rPr>
        <w:t>The “unknown” resources are flexible resources that can be assigned DL or UL direction using UE-specific configuration or dynamic signaling. T</w:t>
      </w:r>
      <w:r w:rsidRPr="00460C54">
        <w:rPr>
          <w:lang w:val="en-US"/>
        </w:rPr>
        <w:t xml:space="preserve">he </w:t>
      </w:r>
      <w:r w:rsidR="001D2DEA" w:rsidRPr="00460C54">
        <w:rPr>
          <w:lang w:val="en-US"/>
        </w:rPr>
        <w:t xml:space="preserve">UE-specific </w:t>
      </w:r>
      <w:proofErr w:type="spellStart"/>
      <w:r w:rsidR="001D2DEA" w:rsidRPr="00460C54">
        <w:rPr>
          <w:lang w:val="en-US"/>
        </w:rPr>
        <w:t>RRC</w:t>
      </w:r>
      <w:proofErr w:type="spellEnd"/>
      <w:r w:rsidR="001D2DEA" w:rsidRPr="00460C54">
        <w:rPr>
          <w:lang w:val="en-US"/>
        </w:rPr>
        <w:t xml:space="preserve"> </w:t>
      </w:r>
      <w:r w:rsidR="00B519BD" w:rsidRPr="00460C54">
        <w:rPr>
          <w:lang w:val="en-US"/>
        </w:rPr>
        <w:t>signaling</w:t>
      </w:r>
      <w:r w:rsidR="001D2DEA" w:rsidRPr="00460C54">
        <w:rPr>
          <w:lang w:val="en-US"/>
        </w:rPr>
        <w:t xml:space="preserve"> includes the indication as per slot basis</w:t>
      </w:r>
      <w:r w:rsidR="00460C54" w:rsidRPr="00460C54">
        <w:rPr>
          <w:lang w:val="en-US"/>
        </w:rPr>
        <w:t xml:space="preserve"> that can override the “unknown” allocation in the cell-specific configuration. </w:t>
      </w:r>
      <w:r w:rsidR="00B519BD">
        <w:rPr>
          <w:lang w:val="en-US"/>
        </w:rPr>
        <w:t>R</w:t>
      </w:r>
      <w:r w:rsidR="00460C54" w:rsidRPr="00460C54">
        <w:rPr>
          <w:lang w:val="en-US"/>
        </w:rPr>
        <w:t>esourc</w:t>
      </w:r>
      <w:r w:rsidR="00460C54">
        <w:rPr>
          <w:lang w:val="en-US"/>
        </w:rPr>
        <w:t>es</w:t>
      </w:r>
      <w:r w:rsidR="00460C54" w:rsidRPr="00460C54">
        <w:rPr>
          <w:lang w:val="en-US"/>
        </w:rPr>
        <w:t xml:space="preserve"> in the slot configuration</w:t>
      </w:r>
      <w:r w:rsidR="001D2DEA" w:rsidRPr="00460C54">
        <w:rPr>
          <w:lang w:val="en-US"/>
        </w:rPr>
        <w:t xml:space="preserve"> </w:t>
      </w:r>
      <w:r w:rsidR="00460C54" w:rsidRPr="00460C54">
        <w:rPr>
          <w:lang w:val="en-US"/>
        </w:rPr>
        <w:t xml:space="preserve">that are </w:t>
      </w:r>
      <w:r w:rsidR="001D2DEA" w:rsidRPr="00460C54">
        <w:rPr>
          <w:lang w:val="en-US"/>
        </w:rPr>
        <w:t>wi</w:t>
      </w:r>
      <w:r w:rsidR="00460C54" w:rsidRPr="00460C54">
        <w:rPr>
          <w:lang w:val="en-US"/>
        </w:rPr>
        <w:t xml:space="preserve">thout DL/UL indication remain </w:t>
      </w:r>
      <w:r w:rsidR="00460C54">
        <w:rPr>
          <w:lang w:val="en-US"/>
        </w:rPr>
        <w:t>flexible resources.</w:t>
      </w:r>
    </w:p>
    <w:p w14:paraId="528192CC" w14:textId="22C1C5D0" w:rsidR="00437D6F" w:rsidRDefault="00460C54" w:rsidP="00B519BD">
      <w:pPr>
        <w:pStyle w:val="BodyText"/>
        <w:rPr>
          <w:lang w:val="en-US"/>
        </w:rPr>
      </w:pPr>
      <w:r>
        <w:t xml:space="preserve">Operation in unlicensed spectrum clearly requires a dynamic </w:t>
      </w:r>
      <w:proofErr w:type="spellStart"/>
      <w:r>
        <w:t>TDD</w:t>
      </w:r>
      <w:proofErr w:type="spellEnd"/>
      <w:r>
        <w:t xml:space="preserve"> scheme </w:t>
      </w:r>
      <w:proofErr w:type="gramStart"/>
      <w:r>
        <w:t>similar to</w:t>
      </w:r>
      <w:proofErr w:type="gramEnd"/>
      <w:r>
        <w:t xml:space="preserve"> </w:t>
      </w:r>
      <w:r w:rsidR="00437D6F">
        <w:t>f</w:t>
      </w:r>
      <w:r>
        <w:t xml:space="preserve">rame structure 3 used for </w:t>
      </w:r>
      <w:proofErr w:type="spellStart"/>
      <w:r>
        <w:t>LAA</w:t>
      </w:r>
      <w:proofErr w:type="spellEnd"/>
      <w:r>
        <w:t xml:space="preserve">. However, </w:t>
      </w:r>
      <w:r>
        <w:rPr>
          <w:lang w:val="en-US"/>
        </w:rPr>
        <w:t>s</w:t>
      </w:r>
      <w:r w:rsidRPr="004D2F04">
        <w:rPr>
          <w:lang w:val="en-US"/>
        </w:rPr>
        <w:t>emi-stati</w:t>
      </w:r>
      <w:r>
        <w:rPr>
          <w:lang w:val="en-US"/>
        </w:rPr>
        <w:t>c assignments can be used to indicate DL subframes that carry synchronization and broadcast signals.</w:t>
      </w:r>
    </w:p>
    <w:p w14:paraId="1B0759CE" w14:textId="2EC12658" w:rsidR="00460C54" w:rsidRDefault="00437D6F" w:rsidP="00B519BD">
      <w:pPr>
        <w:pStyle w:val="Observation"/>
      </w:pPr>
      <w:r>
        <w:t xml:space="preserve">Both Dynamic </w:t>
      </w:r>
      <w:proofErr w:type="spellStart"/>
      <w:r>
        <w:t>TDD</w:t>
      </w:r>
      <w:proofErr w:type="spellEnd"/>
      <w:r>
        <w:t xml:space="preserve"> and </w:t>
      </w:r>
      <w:proofErr w:type="spellStart"/>
      <w:r>
        <w:t>TDD</w:t>
      </w:r>
      <w:proofErr w:type="spellEnd"/>
      <w:r>
        <w:t xml:space="preserve"> with semi-statically configured UL/DL configuration are beneficial for NR-U operation. </w:t>
      </w:r>
    </w:p>
    <w:p w14:paraId="49A2022C" w14:textId="5E2E12B3" w:rsidR="000D423F" w:rsidRDefault="00855191" w:rsidP="00B519BD">
      <w:pPr>
        <w:pStyle w:val="Proposal"/>
        <w:tabs>
          <w:tab w:val="clear" w:pos="1304"/>
        </w:tabs>
        <w:ind w:left="1701" w:hanging="1701"/>
      </w:pPr>
      <w:r>
        <w:t>NR-U should support both dynamic and semi-static DL/UL configurations.</w:t>
      </w:r>
    </w:p>
    <w:p w14:paraId="629A9A1E" w14:textId="30E877A4" w:rsidR="000D423F" w:rsidRDefault="000D423F" w:rsidP="00436933">
      <w:pPr>
        <w:pStyle w:val="Heading3"/>
      </w:pPr>
      <w:r>
        <w:t>Slots</w:t>
      </w:r>
    </w:p>
    <w:p w14:paraId="5412982B" w14:textId="081A37AA" w:rsidR="00F02BB1" w:rsidRDefault="0000621F" w:rsidP="00F02BB1">
      <w:pPr>
        <w:pStyle w:val="BodyText"/>
      </w:pPr>
      <w:r>
        <w:t>In NR</w:t>
      </w:r>
      <w:r w:rsidR="000D423F">
        <w:t>, a slot is 14 OFDM symbol length</w:t>
      </w:r>
      <w:r>
        <w:t xml:space="preserve">, irrespective of the numerology used. Nevertheless, NR support shorter transmit duration than a regular 14 OS slot via </w:t>
      </w:r>
      <w:r w:rsidR="00851EEF">
        <w:t xml:space="preserve">introducing </w:t>
      </w:r>
      <w:r w:rsidR="00436933">
        <w:t>non-slot based scheduling</w:t>
      </w:r>
      <w:r w:rsidR="00E9269D">
        <w:t xml:space="preserve"> (</w:t>
      </w:r>
      <w:proofErr w:type="spellStart"/>
      <w:r w:rsidR="00E9269D">
        <w:t>a.k.a</w:t>
      </w:r>
      <w:proofErr w:type="spellEnd"/>
      <w:r w:rsidR="00E9269D">
        <w:t xml:space="preserve"> mini-slots)</w:t>
      </w:r>
      <w:r w:rsidR="00F02BB1">
        <w:t>. This is useful for several reasons including</w:t>
      </w:r>
    </w:p>
    <w:p w14:paraId="3976CD84" w14:textId="77777777" w:rsidR="00F02BB1" w:rsidRPr="00523036" w:rsidRDefault="00F02BB1" w:rsidP="00F02BB1">
      <w:pPr>
        <w:pStyle w:val="BodyText"/>
        <w:numPr>
          <w:ilvl w:val="0"/>
          <w:numId w:val="21"/>
        </w:numPr>
        <w:rPr>
          <w:color w:val="000000"/>
        </w:rPr>
      </w:pPr>
      <w:r w:rsidRPr="00523036">
        <w:rPr>
          <w:color w:val="000000"/>
        </w:rPr>
        <w:t>Multiple starting position</w:t>
      </w:r>
      <w:r>
        <w:rPr>
          <w:color w:val="000000"/>
        </w:rPr>
        <w:t>s</w:t>
      </w:r>
      <w:r w:rsidRPr="00523036">
        <w:rPr>
          <w:color w:val="000000"/>
        </w:rPr>
        <w:t xml:space="preserve"> within a slot duration </w:t>
      </w:r>
    </w:p>
    <w:p w14:paraId="1DB710D4" w14:textId="77777777" w:rsidR="00F02BB1" w:rsidRPr="00523036" w:rsidRDefault="00F02BB1" w:rsidP="00F02BB1">
      <w:pPr>
        <w:pStyle w:val="BodyText"/>
        <w:numPr>
          <w:ilvl w:val="0"/>
          <w:numId w:val="21"/>
        </w:numPr>
        <w:rPr>
          <w:color w:val="000000"/>
        </w:rPr>
      </w:pPr>
      <w:r w:rsidRPr="00523036">
        <w:rPr>
          <w:color w:val="000000"/>
        </w:rPr>
        <w:t xml:space="preserve">Faster processing delays and feedback </w:t>
      </w:r>
    </w:p>
    <w:p w14:paraId="631158BE" w14:textId="54DC9437" w:rsidR="00F02BB1" w:rsidRPr="005C0D23" w:rsidRDefault="00F02BB1" w:rsidP="005C0D23">
      <w:pPr>
        <w:pStyle w:val="BodyText"/>
        <w:numPr>
          <w:ilvl w:val="0"/>
          <w:numId w:val="21"/>
        </w:numPr>
        <w:rPr>
          <w:color w:val="000000"/>
        </w:rPr>
      </w:pPr>
      <w:r>
        <w:rPr>
          <w:color w:val="000000"/>
        </w:rPr>
        <w:lastRenderedPageBreak/>
        <w:t>S</w:t>
      </w:r>
      <w:r w:rsidRPr="00523036">
        <w:rPr>
          <w:color w:val="000000"/>
        </w:rPr>
        <w:t xml:space="preserve">horter transmission duration than a regular </w:t>
      </w:r>
      <w:r>
        <w:rPr>
          <w:color w:val="000000"/>
        </w:rPr>
        <w:t xml:space="preserve">slot which is </w:t>
      </w:r>
      <w:r w:rsidRPr="00523036">
        <w:rPr>
          <w:color w:val="000000"/>
        </w:rPr>
        <w:t xml:space="preserve">suitable for small packets </w:t>
      </w:r>
      <w:r>
        <w:rPr>
          <w:color w:val="000000"/>
        </w:rPr>
        <w:t>(such as TCP ACKS)</w:t>
      </w:r>
    </w:p>
    <w:p w14:paraId="69C98B6F" w14:textId="4B928CBE" w:rsidR="00F02BB1" w:rsidRDefault="005C0D23" w:rsidP="005C0D23">
      <w:r>
        <w:t xml:space="preserve">This kind of flexibility is specially needed for the unlicensed channel operation. </w:t>
      </w:r>
    </w:p>
    <w:p w14:paraId="502E329C" w14:textId="03DB2E07" w:rsidR="00F4700D" w:rsidRDefault="00F4700D" w:rsidP="00B519BD">
      <w:pPr>
        <w:pStyle w:val="Observation"/>
      </w:pPr>
      <w:r>
        <w:t>Mini-slot enhances NR-U channel access by enabling access to the channel at a much finer granularity</w:t>
      </w:r>
    </w:p>
    <w:p w14:paraId="6CD9B7C8" w14:textId="2863D748" w:rsidR="004B5247" w:rsidRDefault="00F4700D" w:rsidP="00851EEF">
      <w:r>
        <w:t>T</w:t>
      </w:r>
      <w:r w:rsidR="005C0D23">
        <w:t xml:space="preserve">he non-slot based scheduling is </w:t>
      </w:r>
      <w:r w:rsidR="00436933">
        <w:t xml:space="preserve">enabled by: </w:t>
      </w:r>
    </w:p>
    <w:p w14:paraId="59F424AA" w14:textId="77777777" w:rsidR="00436933" w:rsidRPr="00B519BD" w:rsidRDefault="00851EEF" w:rsidP="00B519BD">
      <w:pPr>
        <w:pStyle w:val="BodyText"/>
        <w:numPr>
          <w:ilvl w:val="0"/>
          <w:numId w:val="21"/>
        </w:numPr>
        <w:rPr>
          <w:color w:val="000000"/>
        </w:rPr>
      </w:pPr>
      <w:r w:rsidRPr="00B519BD">
        <w:rPr>
          <w:color w:val="000000"/>
        </w:rPr>
        <w:t xml:space="preserve">Time-domain </w:t>
      </w:r>
      <w:proofErr w:type="spellStart"/>
      <w:r w:rsidRPr="00B519BD">
        <w:rPr>
          <w:color w:val="000000"/>
        </w:rPr>
        <w:t>PDSCH</w:t>
      </w:r>
      <w:proofErr w:type="spellEnd"/>
      <w:r w:rsidRPr="00B519BD">
        <w:rPr>
          <w:color w:val="000000"/>
        </w:rPr>
        <w:t xml:space="preserve"> resources field of the DCI</w:t>
      </w:r>
    </w:p>
    <w:p w14:paraId="6DA9310F" w14:textId="043123DA" w:rsidR="00851EEF" w:rsidRPr="00B519BD" w:rsidRDefault="00F4700D" w:rsidP="00B519BD">
      <w:pPr>
        <w:pStyle w:val="BodyText"/>
        <w:numPr>
          <w:ilvl w:val="0"/>
          <w:numId w:val="21"/>
        </w:numPr>
        <w:rPr>
          <w:color w:val="000000"/>
        </w:rPr>
      </w:pPr>
      <w:r>
        <w:rPr>
          <w:color w:val="000000"/>
        </w:rPr>
        <w:t>M</w:t>
      </w:r>
      <w:r w:rsidR="00436933" w:rsidRPr="00B519BD">
        <w:rPr>
          <w:color w:val="000000"/>
        </w:rPr>
        <w:t xml:space="preserve">ultiple </w:t>
      </w:r>
      <w:proofErr w:type="spellStart"/>
      <w:r w:rsidR="00436933" w:rsidRPr="00B519BD">
        <w:rPr>
          <w:color w:val="000000"/>
        </w:rPr>
        <w:t>CORESETs</w:t>
      </w:r>
      <w:proofErr w:type="spellEnd"/>
      <w:r w:rsidR="00436933" w:rsidRPr="00B519BD">
        <w:rPr>
          <w:color w:val="000000"/>
        </w:rPr>
        <w:t xml:space="preserve"> per BWP in the time domain</w:t>
      </w:r>
    </w:p>
    <w:p w14:paraId="15DC5172" w14:textId="62B0C96C" w:rsidR="00436933" w:rsidRPr="00B519BD" w:rsidRDefault="00436933" w:rsidP="00B519BD">
      <w:pPr>
        <w:pStyle w:val="BodyText"/>
        <w:numPr>
          <w:ilvl w:val="0"/>
          <w:numId w:val="21"/>
        </w:numPr>
        <w:rPr>
          <w:color w:val="000000"/>
        </w:rPr>
      </w:pPr>
      <w:proofErr w:type="spellStart"/>
      <w:r w:rsidRPr="00B519BD">
        <w:rPr>
          <w:color w:val="000000"/>
        </w:rPr>
        <w:t>DMRS</w:t>
      </w:r>
      <w:proofErr w:type="spellEnd"/>
      <w:r w:rsidRPr="00B519BD">
        <w:rPr>
          <w:color w:val="000000"/>
        </w:rPr>
        <w:t xml:space="preserve"> location depends on the scheduling scheme used</w:t>
      </w:r>
    </w:p>
    <w:p w14:paraId="6E65D3B2" w14:textId="4E2FAF8C" w:rsidR="00436933" w:rsidRPr="00B519BD" w:rsidRDefault="00F02BB1" w:rsidP="00436933">
      <w:pPr>
        <w:overflowPunct/>
        <w:autoSpaceDE/>
        <w:autoSpaceDN/>
        <w:adjustRightInd/>
        <w:jc w:val="left"/>
        <w:textAlignment w:val="auto"/>
        <w:rPr>
          <w:rFonts w:ascii="Segoe UI" w:hAnsi="Segoe UI" w:cs="Segoe UI"/>
          <w:lang w:val="en-US" w:eastAsia="en-US"/>
        </w:rPr>
      </w:pPr>
      <w:r w:rsidRPr="00B519BD">
        <w:rPr>
          <w:rFonts w:asciiTheme="minorBidi" w:hAnsiTheme="minorBidi" w:cstheme="minorBidi"/>
          <w:lang w:val="en-US" w:eastAsia="en-US"/>
        </w:rPr>
        <w:t>T</w:t>
      </w:r>
      <w:r w:rsidR="00436933" w:rsidRPr="00B519BD">
        <w:rPr>
          <w:rFonts w:asciiTheme="minorBidi" w:hAnsiTheme="minorBidi" w:cstheme="minorBidi"/>
          <w:lang w:val="en-US" w:eastAsia="en-US"/>
        </w:rPr>
        <w:t xml:space="preserve">he </w:t>
      </w:r>
      <w:r w:rsidR="00436933" w:rsidRPr="00B519BD">
        <w:rPr>
          <w:rFonts w:ascii="Segoe UI" w:hAnsi="Segoe UI" w:cs="Segoe UI"/>
          <w:i/>
          <w:lang w:val="en-US" w:eastAsia="en-US"/>
        </w:rPr>
        <w:t xml:space="preserve">Time-domain </w:t>
      </w:r>
      <w:proofErr w:type="spellStart"/>
      <w:r w:rsidR="00436933" w:rsidRPr="00B519BD">
        <w:rPr>
          <w:rFonts w:ascii="Segoe UI" w:hAnsi="Segoe UI" w:cs="Segoe UI"/>
          <w:i/>
          <w:lang w:val="en-US" w:eastAsia="en-US"/>
        </w:rPr>
        <w:t>PDSCH</w:t>
      </w:r>
      <w:proofErr w:type="spellEnd"/>
      <w:r w:rsidR="00436933" w:rsidRPr="00B519BD">
        <w:rPr>
          <w:rFonts w:ascii="Segoe UI" w:hAnsi="Segoe UI" w:cs="Segoe UI"/>
          <w:i/>
          <w:lang w:val="en-US" w:eastAsia="en-US"/>
        </w:rPr>
        <w:t xml:space="preserve"> </w:t>
      </w:r>
      <w:r w:rsidR="00436933" w:rsidRPr="00B519BD">
        <w:rPr>
          <w:rFonts w:asciiTheme="minorBidi" w:hAnsiTheme="minorBidi" w:cstheme="minorBidi"/>
          <w:lang w:val="en-US" w:eastAsia="en-US"/>
        </w:rPr>
        <w:t>resources field of the DCI provides an indication to:</w:t>
      </w:r>
      <w:r w:rsidR="00436933" w:rsidRPr="00B519BD">
        <w:rPr>
          <w:rFonts w:ascii="Segoe UI" w:hAnsi="Segoe UI" w:cs="Segoe UI"/>
          <w:lang w:val="en-US" w:eastAsia="en-US"/>
        </w:rPr>
        <w:t xml:space="preserve"> </w:t>
      </w:r>
    </w:p>
    <w:p w14:paraId="40DF6A98" w14:textId="07AF1498" w:rsidR="00436933" w:rsidRPr="00B519BD" w:rsidRDefault="00F02BB1" w:rsidP="00B519BD">
      <w:pPr>
        <w:pStyle w:val="BodyText"/>
        <w:numPr>
          <w:ilvl w:val="0"/>
          <w:numId w:val="21"/>
        </w:numPr>
        <w:rPr>
          <w:color w:val="000000"/>
        </w:rPr>
      </w:pPr>
      <w:r w:rsidRPr="00B519BD">
        <w:rPr>
          <w:color w:val="000000"/>
        </w:rPr>
        <w:t xml:space="preserve">the allocated slot </w:t>
      </w:r>
    </w:p>
    <w:p w14:paraId="276FDF67" w14:textId="5CD050ED" w:rsidR="00436933" w:rsidRPr="00B519BD" w:rsidRDefault="00436933" w:rsidP="00B519BD">
      <w:pPr>
        <w:pStyle w:val="BodyText"/>
        <w:numPr>
          <w:ilvl w:val="0"/>
          <w:numId w:val="21"/>
        </w:numPr>
        <w:rPr>
          <w:color w:val="000000"/>
        </w:rPr>
      </w:pPr>
      <w:r w:rsidRPr="00B519BD">
        <w:rPr>
          <w:color w:val="000000"/>
        </w:rPr>
        <w:t>The starting symbol relative to the start of the slot, and the number of consecutive symbols counting from the starting symbols</w:t>
      </w:r>
    </w:p>
    <w:p w14:paraId="0A78CF4A" w14:textId="0B606B15" w:rsidR="00F02BB1" w:rsidRPr="00B519BD" w:rsidRDefault="00436933" w:rsidP="00B519BD">
      <w:pPr>
        <w:pStyle w:val="BodyText"/>
        <w:numPr>
          <w:ilvl w:val="0"/>
          <w:numId w:val="21"/>
        </w:numPr>
        <w:rPr>
          <w:color w:val="000000"/>
        </w:rPr>
      </w:pPr>
      <w:proofErr w:type="spellStart"/>
      <w:r w:rsidRPr="00B519BD">
        <w:rPr>
          <w:color w:val="000000"/>
        </w:rPr>
        <w:t>PDSCH</w:t>
      </w:r>
      <w:proofErr w:type="spellEnd"/>
      <w:r w:rsidR="003A150C">
        <w:rPr>
          <w:color w:val="000000"/>
        </w:rPr>
        <w:t>/</w:t>
      </w:r>
      <w:proofErr w:type="spellStart"/>
      <w:r w:rsidR="003A150C">
        <w:rPr>
          <w:color w:val="000000"/>
        </w:rPr>
        <w:t>PUSCH</w:t>
      </w:r>
      <w:proofErr w:type="spellEnd"/>
      <w:r w:rsidRPr="00B519BD">
        <w:rPr>
          <w:color w:val="000000"/>
        </w:rPr>
        <w:t xml:space="preserve"> mapping type (it Type A or B which defines the </w:t>
      </w:r>
      <w:proofErr w:type="spellStart"/>
      <w:r w:rsidRPr="00B519BD">
        <w:rPr>
          <w:color w:val="000000"/>
        </w:rPr>
        <w:t>DMRS</w:t>
      </w:r>
      <w:proofErr w:type="spellEnd"/>
      <w:r w:rsidRPr="00B519BD">
        <w:rPr>
          <w:color w:val="000000"/>
        </w:rPr>
        <w:t xml:space="preserve"> location)</w:t>
      </w:r>
    </w:p>
    <w:p w14:paraId="383C8839" w14:textId="39C460DD" w:rsidR="00F02BB1" w:rsidRPr="00B519BD" w:rsidRDefault="00F02BB1" w:rsidP="00B519BD">
      <w:r w:rsidRPr="00B519BD">
        <w:t>Given that, the NR provides the means to schedule transmissions shorter than a slot duration, and to start transmissions are any symbol within the slot.  However, for Rel-15</w:t>
      </w:r>
      <w:r w:rsidR="005C0D23" w:rsidRPr="00B519BD">
        <w:t xml:space="preserve"> </w:t>
      </w:r>
      <w:r w:rsidR="004871C2">
        <w:t xml:space="preserve">NR, </w:t>
      </w:r>
      <w:r w:rsidR="005C0D23" w:rsidRPr="00B519BD">
        <w:t>the following restrictions w</w:t>
      </w:r>
      <w:r w:rsidRPr="00B519BD">
        <w:t xml:space="preserve">ere made: </w:t>
      </w:r>
    </w:p>
    <w:p w14:paraId="78728F4D" w14:textId="14821E90" w:rsidR="00F02BB1" w:rsidRPr="00B519BD" w:rsidRDefault="005C0D23" w:rsidP="00B519BD">
      <w:pPr>
        <w:pStyle w:val="BodyText"/>
        <w:numPr>
          <w:ilvl w:val="0"/>
          <w:numId w:val="21"/>
        </w:numPr>
        <w:rPr>
          <w:color w:val="000000"/>
        </w:rPr>
      </w:pPr>
      <w:r w:rsidRPr="00B519BD">
        <w:rPr>
          <w:color w:val="000000"/>
        </w:rPr>
        <w:t xml:space="preserve">The maximum number of </w:t>
      </w:r>
      <w:proofErr w:type="spellStart"/>
      <w:r w:rsidRPr="00B519BD">
        <w:rPr>
          <w:color w:val="000000"/>
        </w:rPr>
        <w:t>CORESETs</w:t>
      </w:r>
      <w:proofErr w:type="spellEnd"/>
      <w:r w:rsidRPr="00B519BD">
        <w:rPr>
          <w:color w:val="000000"/>
        </w:rPr>
        <w:t xml:space="preserve"> per BWP per cell is 3, meaning that the maximum starting points within a slot are 3.</w:t>
      </w:r>
    </w:p>
    <w:p w14:paraId="4F9C77DA" w14:textId="25B6100D" w:rsidR="00E87612" w:rsidRPr="00B519BD" w:rsidRDefault="00F4700D" w:rsidP="00B519BD">
      <w:pPr>
        <w:pStyle w:val="BodyText"/>
        <w:numPr>
          <w:ilvl w:val="0"/>
          <w:numId w:val="21"/>
        </w:numPr>
        <w:rPr>
          <w:color w:val="000000"/>
        </w:rPr>
      </w:pPr>
      <w:proofErr w:type="spellStart"/>
      <w:r w:rsidRPr="00B519BD">
        <w:rPr>
          <w:color w:val="000000"/>
        </w:rPr>
        <w:t>PDSCH</w:t>
      </w:r>
      <w:proofErr w:type="spellEnd"/>
      <w:r w:rsidR="003A150C">
        <w:rPr>
          <w:color w:val="000000"/>
        </w:rPr>
        <w:t>/</w:t>
      </w:r>
      <w:proofErr w:type="spellStart"/>
      <w:r w:rsidR="003A150C">
        <w:rPr>
          <w:color w:val="000000"/>
        </w:rPr>
        <w:t>PUSCH</w:t>
      </w:r>
      <w:proofErr w:type="spellEnd"/>
      <w:r w:rsidRPr="00B519BD">
        <w:rPr>
          <w:color w:val="000000"/>
        </w:rPr>
        <w:t xml:space="preserve"> duration limited to 2, 4, and 7 symbols beside the full slot transmission.</w:t>
      </w:r>
    </w:p>
    <w:p w14:paraId="35733083" w14:textId="45BD40B8" w:rsidR="00E87612" w:rsidRPr="00B519BD" w:rsidRDefault="00E87612" w:rsidP="00B519BD">
      <w:r>
        <w:t xml:space="preserve">Even with limited starting points, given the larger subcarrier spacings, NR-U can still achieve fine channel access granularity. </w:t>
      </w:r>
    </w:p>
    <w:p w14:paraId="461D78C3" w14:textId="62AD6070" w:rsidR="00F4700D" w:rsidRPr="00B519BD" w:rsidRDefault="00F4700D" w:rsidP="00B519BD">
      <w:pPr>
        <w:pStyle w:val="Proposal"/>
        <w:tabs>
          <w:tab w:val="clear" w:pos="1304"/>
        </w:tabs>
        <w:ind w:left="1701" w:hanging="1701"/>
      </w:pPr>
      <w:r>
        <w:t>NR-U</w:t>
      </w:r>
      <w:r w:rsidR="00F351BB">
        <w:t xml:space="preserve"> </w:t>
      </w:r>
      <w:r w:rsidR="00E9269D">
        <w:t>should support</w:t>
      </w:r>
      <w:r w:rsidR="00F351BB">
        <w:t xml:space="preserve"> non-slot based scheduling</w:t>
      </w:r>
      <w:r w:rsidR="00E9269D">
        <w:t>.</w:t>
      </w:r>
    </w:p>
    <w:p w14:paraId="7E5FEF17" w14:textId="77777777" w:rsidR="00604A1C" w:rsidRPr="00F36AC9" w:rsidRDefault="00F3054B" w:rsidP="00F36AC9">
      <w:pPr>
        <w:pStyle w:val="Heading2"/>
      </w:pPr>
      <w:r w:rsidRPr="00F36AC9">
        <w:t>Dynamic subframe structure</w:t>
      </w:r>
    </w:p>
    <w:p w14:paraId="67A1B390" w14:textId="0D8505ED" w:rsidR="00A55B7E" w:rsidRDefault="00A55B7E" w:rsidP="00A55B7E">
      <w:pPr>
        <w:pStyle w:val="Proposal"/>
        <w:numPr>
          <w:ilvl w:val="0"/>
          <w:numId w:val="0"/>
        </w:numPr>
        <w:rPr>
          <w:b w:val="0"/>
          <w:bCs w:val="0"/>
        </w:rPr>
      </w:pPr>
      <w:r>
        <w:rPr>
          <w:b w:val="0"/>
          <w:bCs w:val="0"/>
        </w:rPr>
        <w:t xml:space="preserve">Fast </w:t>
      </w:r>
      <w:proofErr w:type="spellStart"/>
      <w:r>
        <w:rPr>
          <w:b w:val="0"/>
          <w:bCs w:val="0"/>
        </w:rPr>
        <w:t>HARQ</w:t>
      </w:r>
      <w:proofErr w:type="spellEnd"/>
      <w:r>
        <w:rPr>
          <w:b w:val="0"/>
          <w:bCs w:val="0"/>
        </w:rPr>
        <w:t xml:space="preserve"> feedback can be transmitted immediately after the received burst in both DL and UL. Thereby, the transmission direction may be switched multiple time</w:t>
      </w:r>
      <w:r w:rsidR="00F12351">
        <w:rPr>
          <w:b w:val="0"/>
          <w:bCs w:val="0"/>
        </w:rPr>
        <w:t>s</w:t>
      </w:r>
      <w:r>
        <w:rPr>
          <w:b w:val="0"/>
          <w:bCs w:val="0"/>
        </w:rPr>
        <w:t xml:space="preserve"> within one transmit opportunity. </w:t>
      </w:r>
      <w:r w:rsidR="00F31424">
        <w:rPr>
          <w:b w:val="0"/>
          <w:bCs w:val="0"/>
        </w:rPr>
        <w:t>T</w:t>
      </w:r>
      <w:r w:rsidR="002835F2">
        <w:rPr>
          <w:b w:val="0"/>
          <w:bCs w:val="0"/>
        </w:rPr>
        <w:t>he later also motivate</w:t>
      </w:r>
      <w:r w:rsidR="00F31424">
        <w:rPr>
          <w:b w:val="0"/>
          <w:bCs w:val="0"/>
        </w:rPr>
        <w:t>s</w:t>
      </w:r>
      <w:r w:rsidR="002835F2">
        <w:rPr>
          <w:b w:val="0"/>
          <w:bCs w:val="0"/>
        </w:rPr>
        <w:t xml:space="preserve"> that</w:t>
      </w:r>
      <w:r w:rsidRPr="003F77AD">
        <w:rPr>
          <w:b w:val="0"/>
          <w:bCs w:val="0"/>
        </w:rPr>
        <w:t xml:space="preserve"> NR-U </w:t>
      </w:r>
      <w:r>
        <w:rPr>
          <w:b w:val="0"/>
          <w:bCs w:val="0"/>
        </w:rPr>
        <w:t>should support multiple switch point</w:t>
      </w:r>
      <w:r w:rsidR="00F31424">
        <w:rPr>
          <w:b w:val="0"/>
          <w:bCs w:val="0"/>
        </w:rPr>
        <w:t>s</w:t>
      </w:r>
      <w:r>
        <w:rPr>
          <w:b w:val="0"/>
          <w:bCs w:val="0"/>
        </w:rPr>
        <w:t xml:space="preserve"> </w:t>
      </w:r>
      <w:r w:rsidRPr="003F77AD">
        <w:rPr>
          <w:b w:val="0"/>
          <w:bCs w:val="0"/>
        </w:rPr>
        <w:t>within a transmit opportunity.</w:t>
      </w:r>
      <w:r w:rsidR="005435CF">
        <w:rPr>
          <w:b w:val="0"/>
          <w:bCs w:val="0"/>
        </w:rPr>
        <w:t xml:space="preserve"> Depending on the traffic (data or control), a short or no </w:t>
      </w:r>
      <w:proofErr w:type="spellStart"/>
      <w:r w:rsidR="005435CF">
        <w:rPr>
          <w:b w:val="0"/>
          <w:bCs w:val="0"/>
        </w:rPr>
        <w:t>LBT</w:t>
      </w:r>
      <w:proofErr w:type="spellEnd"/>
      <w:r w:rsidR="005435CF">
        <w:rPr>
          <w:b w:val="0"/>
          <w:bCs w:val="0"/>
        </w:rPr>
        <w:t xml:space="preserve"> may be used upon every change of direction within a transmit opportunity. </w:t>
      </w:r>
    </w:p>
    <w:p w14:paraId="63051836" w14:textId="4BFE800B" w:rsidR="002127F5" w:rsidRPr="00242626" w:rsidRDefault="00F3054B" w:rsidP="00242626">
      <w:pPr>
        <w:pStyle w:val="Proposal"/>
      </w:pPr>
      <w:r w:rsidRPr="005435CF">
        <w:t xml:space="preserve">NR-U should support multiple gaps and switching back and forth between DL and UL directions </w:t>
      </w:r>
      <w:r w:rsidR="003F32CA" w:rsidRPr="005435CF">
        <w:t xml:space="preserve">within a </w:t>
      </w:r>
      <w:r w:rsidR="00711DBA">
        <w:t>COT.</w:t>
      </w:r>
    </w:p>
    <w:p w14:paraId="26E3A801" w14:textId="77777777" w:rsidR="00C01F33" w:rsidRPr="00CE0424" w:rsidRDefault="00C01F33" w:rsidP="00CE0424">
      <w:pPr>
        <w:pStyle w:val="Heading1"/>
      </w:pPr>
      <w:r w:rsidRPr="00CE0424">
        <w:t>Conclusion</w:t>
      </w:r>
    </w:p>
    <w:p w14:paraId="70CC4F1F" w14:textId="2B1577DD" w:rsidR="00311702" w:rsidRDefault="00DA243C" w:rsidP="00AB0BC8">
      <w:r>
        <w:t xml:space="preserve">In this contribution, we discuss NR-U frame structure. The following observations and proposals were made: </w:t>
      </w:r>
    </w:p>
    <w:p w14:paraId="71A41DFE" w14:textId="77777777" w:rsidR="00DA243C" w:rsidRPr="00CE0424" w:rsidRDefault="00DA243C" w:rsidP="00AB0BC8"/>
    <w:p w14:paraId="13CCBDBC" w14:textId="6CD31968" w:rsidR="002C7218" w:rsidRDefault="002C7218" w:rsidP="002C7218">
      <w:pPr>
        <w:pStyle w:val="Observation"/>
        <w:numPr>
          <w:ilvl w:val="0"/>
          <w:numId w:val="37"/>
        </w:numPr>
      </w:pPr>
      <w:bookmarkStart w:id="2" w:name="_In-sequence_SDU_delivery"/>
      <w:bookmarkEnd w:id="2"/>
      <w:r>
        <w:t xml:space="preserve">Both Dynamic </w:t>
      </w:r>
      <w:proofErr w:type="spellStart"/>
      <w:r>
        <w:t>TDD</w:t>
      </w:r>
      <w:proofErr w:type="spellEnd"/>
      <w:r>
        <w:t xml:space="preserve"> and </w:t>
      </w:r>
      <w:proofErr w:type="spellStart"/>
      <w:r>
        <w:t>TDD</w:t>
      </w:r>
      <w:proofErr w:type="spellEnd"/>
      <w:r>
        <w:t xml:space="preserve"> with semi-statically configured UL/DL configuration are beneficial for NR-U operation. </w:t>
      </w:r>
    </w:p>
    <w:p w14:paraId="3FC096F5" w14:textId="77777777" w:rsidR="002C7218" w:rsidRDefault="002C7218" w:rsidP="002C7218">
      <w:pPr>
        <w:pStyle w:val="Observation"/>
      </w:pPr>
      <w:r>
        <w:t>Mini-slot enhances NR-U channel access by enabling access to the channel at a much finer granularity</w:t>
      </w:r>
    </w:p>
    <w:p w14:paraId="7982A7FC" w14:textId="77777777" w:rsidR="002C7218" w:rsidRDefault="002C7218" w:rsidP="002C7218">
      <w:pPr>
        <w:pStyle w:val="Observation"/>
        <w:numPr>
          <w:ilvl w:val="0"/>
          <w:numId w:val="0"/>
        </w:numPr>
      </w:pPr>
    </w:p>
    <w:p w14:paraId="30978B06" w14:textId="5971575E" w:rsidR="002C7218" w:rsidRDefault="002C7218" w:rsidP="002C7218">
      <w:pPr>
        <w:pStyle w:val="Proposal"/>
        <w:numPr>
          <w:ilvl w:val="0"/>
          <w:numId w:val="38"/>
        </w:numPr>
        <w:tabs>
          <w:tab w:val="clear" w:pos="1304"/>
        </w:tabs>
      </w:pPr>
      <w:r>
        <w:t>NR-U should support both dynamic and semi-static DL/UL configurations.</w:t>
      </w:r>
    </w:p>
    <w:p w14:paraId="41401883" w14:textId="77777777" w:rsidR="002C7218" w:rsidRPr="00B519BD" w:rsidRDefault="002C7218" w:rsidP="002C7218">
      <w:pPr>
        <w:pStyle w:val="Proposal"/>
        <w:tabs>
          <w:tab w:val="clear" w:pos="1304"/>
        </w:tabs>
        <w:ind w:left="1701" w:hanging="1701"/>
      </w:pPr>
      <w:r>
        <w:t>NR-U should support non-slot based scheduling.</w:t>
      </w:r>
    </w:p>
    <w:p w14:paraId="6C319E77" w14:textId="3FCF7DFE" w:rsidR="002C7218" w:rsidRDefault="002C7218" w:rsidP="002C7218">
      <w:pPr>
        <w:pStyle w:val="Proposal"/>
      </w:pPr>
      <w:r w:rsidRPr="005435CF">
        <w:t xml:space="preserve">NR-U should support multiple gaps and switching back and forth between DL and UL directions within a </w:t>
      </w:r>
      <w:r>
        <w:t>COT.</w:t>
      </w:r>
    </w:p>
    <w:p w14:paraId="647DF919" w14:textId="77777777" w:rsidR="00F507D1" w:rsidRPr="00CE0424" w:rsidRDefault="00F507D1" w:rsidP="00CE0424">
      <w:pPr>
        <w:pStyle w:val="Heading1"/>
      </w:pPr>
      <w:r w:rsidRPr="00CE0424">
        <w:lastRenderedPageBreak/>
        <w:t>References</w:t>
      </w:r>
    </w:p>
    <w:p w14:paraId="3DA76A29" w14:textId="77777777" w:rsidR="002C7218" w:rsidRDefault="002C7218" w:rsidP="002C7218">
      <w:pPr>
        <w:pStyle w:val="Reference"/>
        <w:numPr>
          <w:ilvl w:val="0"/>
          <w:numId w:val="39"/>
        </w:numPr>
        <w:overflowPunct/>
        <w:autoSpaceDE/>
        <w:autoSpaceDN/>
        <w:adjustRightInd/>
        <w:spacing w:after="160" w:line="256" w:lineRule="auto"/>
        <w:jc w:val="left"/>
        <w:textAlignment w:val="auto"/>
        <w:rPr>
          <w:rFonts w:asciiTheme="minorHAnsi" w:hAnsiTheme="minorHAnsi"/>
          <w:lang w:val="en-US" w:eastAsia="en-US"/>
        </w:rPr>
      </w:pPr>
      <w:bookmarkStart w:id="3" w:name="_Ref505697448"/>
      <w:bookmarkStart w:id="4" w:name="_Ref174151459"/>
      <w:bookmarkStart w:id="5" w:name="_Ref189809556"/>
      <w:r>
        <w:rPr>
          <w:bCs/>
        </w:rPr>
        <w:t>RP-171416, Revision of Study on NR-based Access to Unlicensed Spectrum, RAN1 #76, Jun. 2017.</w:t>
      </w:r>
      <w:bookmarkEnd w:id="3"/>
    </w:p>
    <w:bookmarkEnd w:id="4"/>
    <w:bookmarkEnd w:id="5"/>
    <w:p w14:paraId="573AC884" w14:textId="77777777" w:rsidR="003A7EF3" w:rsidRPr="00CE0424" w:rsidRDefault="003A7EF3" w:rsidP="00CE0424">
      <w:pPr>
        <w:pStyle w:val="BodyText"/>
      </w:pPr>
    </w:p>
    <w:sectPr w:rsidR="003A7EF3" w:rsidRPr="00CE0424">
      <w:headerReference w:type="even" r:id="rId14"/>
      <w:foot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8EA0853" w14:textId="77777777" w:rsidR="006F41FD" w:rsidRDefault="006F41FD">
      <w:r>
        <w:separator/>
      </w:r>
    </w:p>
  </w:endnote>
  <w:endnote w:type="continuationSeparator" w:id="0">
    <w:p w14:paraId="214E6C90" w14:textId="77777777" w:rsidR="006F41FD" w:rsidRDefault="006F41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ricsson Capital TT">
    <w:panose1 w:val="02000503000000020004"/>
    <w:charset w:val="00"/>
    <w:family w:val="auto"/>
    <w:pitch w:val="variable"/>
    <w:sig w:usb0="800002A7" w:usb1="4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49673A" w14:textId="7B5A0DA8" w:rsidR="00920BF2" w:rsidRDefault="00920BF2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CA6BF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CA6BF4">
      <w:rPr>
        <w:rStyle w:val="PageNumber"/>
      </w:rPr>
      <w:t>3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B2DDEA6" w14:textId="77777777" w:rsidR="006F41FD" w:rsidRDefault="006F41FD">
      <w:r>
        <w:separator/>
      </w:r>
    </w:p>
  </w:footnote>
  <w:footnote w:type="continuationSeparator" w:id="0">
    <w:p w14:paraId="04DC792E" w14:textId="77777777" w:rsidR="006F41FD" w:rsidRDefault="006F41F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64FD03" w14:textId="77777777" w:rsidR="00920BF2" w:rsidRDefault="00920BF2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</w:t>
    </w:r>
    <w:proofErr w:type="spellStart"/>
    <w:r>
      <w:t>YYYY</w:t>
    </w:r>
    <w:proofErr w:type="spell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9D9CF93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4FCE10A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2AE74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056531CA"/>
    <w:multiLevelType w:val="hybridMultilevel"/>
    <w:tmpl w:val="A1EC54AE"/>
    <w:lvl w:ilvl="0" w:tplc="2FD462C2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EA2A284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0E2B6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48E5B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41294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D4C562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AA4303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2A29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5E944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0BA162FB"/>
    <w:multiLevelType w:val="hybridMultilevel"/>
    <w:tmpl w:val="1442800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9080B3C"/>
    <w:multiLevelType w:val="hybridMultilevel"/>
    <w:tmpl w:val="6A8A9088"/>
    <w:lvl w:ilvl="0" w:tplc="3B18863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Ericsson Capital TT" w:hAnsi="Ericsson Capital TT" w:hint="default"/>
      </w:rPr>
    </w:lvl>
    <w:lvl w:ilvl="1" w:tplc="DCE8312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B25E4E18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3E8A82A0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Ericsson Capital TT" w:hAnsi="Ericsson Capital TT" w:hint="default"/>
      </w:rPr>
    </w:lvl>
    <w:lvl w:ilvl="4" w:tplc="974CCE32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Ericsson Capital TT" w:hAnsi="Ericsson Capital TT" w:hint="default"/>
      </w:rPr>
    </w:lvl>
    <w:lvl w:ilvl="5" w:tplc="03B2099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Ericsson Capital TT" w:hAnsi="Ericsson Capital TT" w:hint="default"/>
      </w:rPr>
    </w:lvl>
    <w:lvl w:ilvl="6" w:tplc="1806274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Ericsson Capital TT" w:hAnsi="Ericsson Capital TT" w:hint="default"/>
      </w:rPr>
    </w:lvl>
    <w:lvl w:ilvl="7" w:tplc="6E7269EA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Ericsson Capital TT" w:hAnsi="Ericsson Capital TT" w:hint="default"/>
      </w:rPr>
    </w:lvl>
    <w:lvl w:ilvl="8" w:tplc="A690690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Ericsson Capital TT" w:hAnsi="Ericsson Capital TT" w:hint="default"/>
      </w:rPr>
    </w:lvl>
  </w:abstractNum>
  <w:abstractNum w:abstractNumId="8" w15:restartNumberingAfterBreak="0">
    <w:nsid w:val="1B500138"/>
    <w:multiLevelType w:val="hybridMultilevel"/>
    <w:tmpl w:val="BAE8C508"/>
    <w:lvl w:ilvl="0" w:tplc="578054F0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FAB6D77A">
      <w:start w:val="12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15CA3D5A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027CBD2A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7EA88F2A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744AA56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4936FBF0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D062FDDC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8AD80BCE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9" w15:restartNumberingAfterBreak="0">
    <w:nsid w:val="1CA82087"/>
    <w:multiLevelType w:val="hybridMultilevel"/>
    <w:tmpl w:val="1CB0F3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50613F5"/>
    <w:multiLevelType w:val="hybridMultilevel"/>
    <w:tmpl w:val="BE705D2E"/>
    <w:lvl w:ilvl="0" w:tplc="28FCCDFC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04E2B37"/>
    <w:multiLevelType w:val="hybridMultilevel"/>
    <w:tmpl w:val="61DCD0AA"/>
    <w:lvl w:ilvl="0" w:tplc="2A46491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842497"/>
    <w:multiLevelType w:val="hybridMultilevel"/>
    <w:tmpl w:val="00BA15E6"/>
    <w:lvl w:ilvl="0" w:tplc="28FCCDFC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324EA1"/>
    <w:multiLevelType w:val="hybridMultilevel"/>
    <w:tmpl w:val="97DA1C28"/>
    <w:lvl w:ilvl="0" w:tplc="D0F6ED78">
      <w:start w:val="6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5FB4B5E"/>
    <w:multiLevelType w:val="hybridMultilevel"/>
    <w:tmpl w:val="33F46F10"/>
    <w:lvl w:ilvl="0" w:tplc="1C6E31FA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C7EA43C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49059EA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9AF22C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5E9FD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0E16C4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22087C0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93C5ED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E25048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B865BE6"/>
    <w:multiLevelType w:val="hybridMultilevel"/>
    <w:tmpl w:val="E9505DE4"/>
    <w:lvl w:ilvl="0" w:tplc="28FCCDFC">
      <w:numFmt w:val="bullet"/>
      <w:lvlText w:val="-"/>
      <w:lvlJc w:val="left"/>
      <w:pPr>
        <w:ind w:left="720" w:hanging="360"/>
      </w:pPr>
      <w:rPr>
        <w:rFonts w:ascii="Segoe UI" w:eastAsia="Times New Roman" w:hAnsi="Segoe UI" w:cs="Segoe UI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7346860"/>
    <w:multiLevelType w:val="hybridMultilevel"/>
    <w:tmpl w:val="3664E7CE"/>
    <w:lvl w:ilvl="0" w:tplc="D2D6D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B996A11"/>
    <w:multiLevelType w:val="hybridMultilevel"/>
    <w:tmpl w:val="AB52EE8C"/>
    <w:lvl w:ilvl="0" w:tplc="36BC4D86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6CC292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D869D8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5A2B88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041390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6AE9C48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6F4160C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6CA26E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A6A1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21"/>
  </w:num>
  <w:num w:numId="3">
    <w:abstractNumId w:val="15"/>
  </w:num>
  <w:num w:numId="4">
    <w:abstractNumId w:val="16"/>
  </w:num>
  <w:num w:numId="5">
    <w:abstractNumId w:val="13"/>
  </w:num>
  <w:num w:numId="6">
    <w:abstractNumId w:val="18"/>
  </w:num>
  <w:num w:numId="7">
    <w:abstractNumId w:val="24"/>
  </w:num>
  <w:num w:numId="8">
    <w:abstractNumId w:val="14"/>
  </w:num>
  <w:num w:numId="9">
    <w:abstractNumId w:val="22"/>
  </w:num>
  <w:num w:numId="10">
    <w:abstractNumId w:val="8"/>
  </w:num>
  <w:num w:numId="11">
    <w:abstractNumId w:val="20"/>
  </w:num>
  <w:num w:numId="12">
    <w:abstractNumId w:val="17"/>
  </w:num>
  <w:num w:numId="13">
    <w:abstractNumId w:val="11"/>
  </w:num>
  <w:num w:numId="14">
    <w:abstractNumId w:val="12"/>
  </w:num>
  <w:num w:numId="15">
    <w:abstractNumId w:val="3"/>
  </w:num>
  <w:num w:numId="16">
    <w:abstractNumId w:val="2"/>
  </w:num>
  <w:num w:numId="17">
    <w:abstractNumId w:val="1"/>
  </w:num>
  <w:num w:numId="18">
    <w:abstractNumId w:val="0"/>
  </w:num>
  <w:num w:numId="19">
    <w:abstractNumId w:val="26"/>
  </w:num>
  <w:num w:numId="20">
    <w:abstractNumId w:val="28"/>
  </w:num>
  <w:num w:numId="21">
    <w:abstractNumId w:val="9"/>
  </w:num>
  <w:num w:numId="22">
    <w:abstractNumId w:val="5"/>
  </w:num>
  <w:num w:numId="23">
    <w:abstractNumId w:val="23"/>
  </w:num>
  <w:num w:numId="24">
    <w:abstractNumId w:val="7"/>
  </w:num>
  <w:num w:numId="25">
    <w:abstractNumId w:val="15"/>
  </w:num>
  <w:num w:numId="26">
    <w:abstractNumId w:val="4"/>
  </w:num>
  <w:num w:numId="27">
    <w:abstractNumId w:val="27"/>
  </w:num>
  <w:num w:numId="28">
    <w:abstractNumId w:val="25"/>
  </w:num>
  <w:num w:numId="29">
    <w:abstractNumId w:val="10"/>
  </w:num>
  <w:num w:numId="30">
    <w:abstractNumId w:val="6"/>
  </w:num>
  <w:num w:numId="31">
    <w:abstractNumId w:val="6"/>
  </w:num>
  <w:num w:numId="32">
    <w:abstractNumId w:val="19"/>
  </w:num>
  <w:num w:numId="33">
    <w:abstractNumId w:val="22"/>
    <w:lvlOverride w:ilvl="0">
      <w:startOverride w:val="1"/>
    </w:lvlOverride>
  </w:num>
  <w:num w:numId="34">
    <w:abstractNumId w:val="15"/>
    <w:lvlOverride w:ilvl="0">
      <w:startOverride w:val="1"/>
    </w:lvlOverride>
  </w:num>
  <w:num w:numId="35">
    <w:abstractNumId w:val="22"/>
  </w:num>
  <w:num w:numId="36">
    <w:abstractNumId w:val="15"/>
  </w:num>
  <w:num w:numId="37">
    <w:abstractNumId w:val="22"/>
    <w:lvlOverride w:ilvl="0">
      <w:startOverride w:val="1"/>
    </w:lvlOverride>
  </w:num>
  <w:num w:numId="38">
    <w:abstractNumId w:val="15"/>
    <w:lvlOverride w:ilvl="0">
      <w:startOverride w:val="1"/>
    </w:lvlOverride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5F4B"/>
    <w:rsid w:val="000006E1"/>
    <w:rsid w:val="00002A37"/>
    <w:rsid w:val="000039F4"/>
    <w:rsid w:val="0000621F"/>
    <w:rsid w:val="00006446"/>
    <w:rsid w:val="00006896"/>
    <w:rsid w:val="00007CDC"/>
    <w:rsid w:val="00011B28"/>
    <w:rsid w:val="00015D15"/>
    <w:rsid w:val="0002564D"/>
    <w:rsid w:val="00025ECA"/>
    <w:rsid w:val="000325B8"/>
    <w:rsid w:val="000339E1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97904"/>
    <w:rsid w:val="000A1B7B"/>
    <w:rsid w:val="000A3088"/>
    <w:rsid w:val="000A56F2"/>
    <w:rsid w:val="000B2719"/>
    <w:rsid w:val="000B3A8F"/>
    <w:rsid w:val="000B4AB9"/>
    <w:rsid w:val="000B58C3"/>
    <w:rsid w:val="000B61E9"/>
    <w:rsid w:val="000C165A"/>
    <w:rsid w:val="000C2E19"/>
    <w:rsid w:val="000D0D07"/>
    <w:rsid w:val="000D423F"/>
    <w:rsid w:val="000D4797"/>
    <w:rsid w:val="000E0527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383D"/>
    <w:rsid w:val="001344C0"/>
    <w:rsid w:val="001346FA"/>
    <w:rsid w:val="00135252"/>
    <w:rsid w:val="001353BC"/>
    <w:rsid w:val="00135A45"/>
    <w:rsid w:val="00137AB5"/>
    <w:rsid w:val="00137F0B"/>
    <w:rsid w:val="00151E23"/>
    <w:rsid w:val="001526E0"/>
    <w:rsid w:val="001551B5"/>
    <w:rsid w:val="0015615D"/>
    <w:rsid w:val="001659C1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C1CE5"/>
    <w:rsid w:val="001C23AB"/>
    <w:rsid w:val="001C3D2A"/>
    <w:rsid w:val="001D2DEA"/>
    <w:rsid w:val="001D51BA"/>
    <w:rsid w:val="001D6342"/>
    <w:rsid w:val="001D6D53"/>
    <w:rsid w:val="001E58E2"/>
    <w:rsid w:val="001E7AED"/>
    <w:rsid w:val="001F3916"/>
    <w:rsid w:val="001F54C5"/>
    <w:rsid w:val="001F662C"/>
    <w:rsid w:val="001F7074"/>
    <w:rsid w:val="00200490"/>
    <w:rsid w:val="00201F3A"/>
    <w:rsid w:val="00203F96"/>
    <w:rsid w:val="002069B2"/>
    <w:rsid w:val="00207FA3"/>
    <w:rsid w:val="002127F5"/>
    <w:rsid w:val="00214DA8"/>
    <w:rsid w:val="00215423"/>
    <w:rsid w:val="002158FA"/>
    <w:rsid w:val="00220600"/>
    <w:rsid w:val="002224DB"/>
    <w:rsid w:val="00223FCB"/>
    <w:rsid w:val="002252C3"/>
    <w:rsid w:val="00225C54"/>
    <w:rsid w:val="00230765"/>
    <w:rsid w:val="002319E4"/>
    <w:rsid w:val="00235632"/>
    <w:rsid w:val="00235872"/>
    <w:rsid w:val="00241559"/>
    <w:rsid w:val="00242626"/>
    <w:rsid w:val="002435B3"/>
    <w:rsid w:val="002458EB"/>
    <w:rsid w:val="0024599D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75844"/>
    <w:rsid w:val="002805F5"/>
    <w:rsid w:val="00280751"/>
    <w:rsid w:val="0028280A"/>
    <w:rsid w:val="002835F2"/>
    <w:rsid w:val="00286ACD"/>
    <w:rsid w:val="00287838"/>
    <w:rsid w:val="002907B5"/>
    <w:rsid w:val="00291F26"/>
    <w:rsid w:val="00292EB7"/>
    <w:rsid w:val="00296227"/>
    <w:rsid w:val="00296F44"/>
    <w:rsid w:val="0029777D"/>
    <w:rsid w:val="002A055E"/>
    <w:rsid w:val="002A1D4E"/>
    <w:rsid w:val="002A1F25"/>
    <w:rsid w:val="002A2869"/>
    <w:rsid w:val="002B24D6"/>
    <w:rsid w:val="002C41E6"/>
    <w:rsid w:val="002C5F4B"/>
    <w:rsid w:val="002C7218"/>
    <w:rsid w:val="002D0254"/>
    <w:rsid w:val="002D071A"/>
    <w:rsid w:val="002D34B2"/>
    <w:rsid w:val="002D7637"/>
    <w:rsid w:val="002E17F2"/>
    <w:rsid w:val="002E7CAE"/>
    <w:rsid w:val="002F2771"/>
    <w:rsid w:val="002F37A9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2BD7"/>
    <w:rsid w:val="00343A07"/>
    <w:rsid w:val="00346DB5"/>
    <w:rsid w:val="003477B1"/>
    <w:rsid w:val="00357380"/>
    <w:rsid w:val="003602D9"/>
    <w:rsid w:val="003604CE"/>
    <w:rsid w:val="00370E47"/>
    <w:rsid w:val="003742AC"/>
    <w:rsid w:val="00377CE1"/>
    <w:rsid w:val="00385BF0"/>
    <w:rsid w:val="00392D89"/>
    <w:rsid w:val="003939FF"/>
    <w:rsid w:val="003A150C"/>
    <w:rsid w:val="003A2223"/>
    <w:rsid w:val="003A2A0F"/>
    <w:rsid w:val="003A45A1"/>
    <w:rsid w:val="003A5B0A"/>
    <w:rsid w:val="003A6BAC"/>
    <w:rsid w:val="003A7EF3"/>
    <w:rsid w:val="003B159C"/>
    <w:rsid w:val="003B2927"/>
    <w:rsid w:val="003B369F"/>
    <w:rsid w:val="003B36A3"/>
    <w:rsid w:val="003B460B"/>
    <w:rsid w:val="003B7FE5"/>
    <w:rsid w:val="003C11C8"/>
    <w:rsid w:val="003C2702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32CA"/>
    <w:rsid w:val="003F6BBE"/>
    <w:rsid w:val="003F77AD"/>
    <w:rsid w:val="004000E8"/>
    <w:rsid w:val="00402E2B"/>
    <w:rsid w:val="0040512B"/>
    <w:rsid w:val="00405CA5"/>
    <w:rsid w:val="00407CD3"/>
    <w:rsid w:val="00410134"/>
    <w:rsid w:val="00410B72"/>
    <w:rsid w:val="00410EB0"/>
    <w:rsid w:val="00410F18"/>
    <w:rsid w:val="0041263E"/>
    <w:rsid w:val="00413AAC"/>
    <w:rsid w:val="00421105"/>
    <w:rsid w:val="004242F4"/>
    <w:rsid w:val="00427248"/>
    <w:rsid w:val="00436933"/>
    <w:rsid w:val="00437447"/>
    <w:rsid w:val="00437D6F"/>
    <w:rsid w:val="00441A92"/>
    <w:rsid w:val="00444F56"/>
    <w:rsid w:val="00446488"/>
    <w:rsid w:val="004517AA"/>
    <w:rsid w:val="00452CAC"/>
    <w:rsid w:val="00455DA4"/>
    <w:rsid w:val="00457565"/>
    <w:rsid w:val="00457B71"/>
    <w:rsid w:val="00460C54"/>
    <w:rsid w:val="004669E2"/>
    <w:rsid w:val="00470C31"/>
    <w:rsid w:val="004734D0"/>
    <w:rsid w:val="0047556B"/>
    <w:rsid w:val="00477768"/>
    <w:rsid w:val="004871C2"/>
    <w:rsid w:val="00492BC5"/>
    <w:rsid w:val="004964F1"/>
    <w:rsid w:val="004A16BC"/>
    <w:rsid w:val="004A2B94"/>
    <w:rsid w:val="004B5247"/>
    <w:rsid w:val="004B7C0C"/>
    <w:rsid w:val="004C2DB9"/>
    <w:rsid w:val="004C3898"/>
    <w:rsid w:val="004D2E73"/>
    <w:rsid w:val="004D2F04"/>
    <w:rsid w:val="004D36B1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4F4E33"/>
    <w:rsid w:val="00506557"/>
    <w:rsid w:val="0050677A"/>
    <w:rsid w:val="005108D8"/>
    <w:rsid w:val="005116F9"/>
    <w:rsid w:val="005153A7"/>
    <w:rsid w:val="005219CF"/>
    <w:rsid w:val="00523036"/>
    <w:rsid w:val="00534B59"/>
    <w:rsid w:val="0053617C"/>
    <w:rsid w:val="00536759"/>
    <w:rsid w:val="00537C62"/>
    <w:rsid w:val="005435CF"/>
    <w:rsid w:val="00546970"/>
    <w:rsid w:val="00554E19"/>
    <w:rsid w:val="0056121F"/>
    <w:rsid w:val="00572505"/>
    <w:rsid w:val="0057360B"/>
    <w:rsid w:val="0057621E"/>
    <w:rsid w:val="005813BD"/>
    <w:rsid w:val="00582809"/>
    <w:rsid w:val="00585CC0"/>
    <w:rsid w:val="0058798C"/>
    <w:rsid w:val="005900FA"/>
    <w:rsid w:val="005935A4"/>
    <w:rsid w:val="005948C2"/>
    <w:rsid w:val="0059536D"/>
    <w:rsid w:val="00595DCA"/>
    <w:rsid w:val="0059779B"/>
    <w:rsid w:val="005A209A"/>
    <w:rsid w:val="005A5D13"/>
    <w:rsid w:val="005A662D"/>
    <w:rsid w:val="005B35D7"/>
    <w:rsid w:val="005B392A"/>
    <w:rsid w:val="005B3AA3"/>
    <w:rsid w:val="005B591A"/>
    <w:rsid w:val="005B6F83"/>
    <w:rsid w:val="005C0D23"/>
    <w:rsid w:val="005C74FB"/>
    <w:rsid w:val="005D0CE7"/>
    <w:rsid w:val="005D1602"/>
    <w:rsid w:val="005E385F"/>
    <w:rsid w:val="005E5B81"/>
    <w:rsid w:val="005F2CB1"/>
    <w:rsid w:val="005F3025"/>
    <w:rsid w:val="005F5209"/>
    <w:rsid w:val="005F5CB2"/>
    <w:rsid w:val="005F618C"/>
    <w:rsid w:val="005F70BD"/>
    <w:rsid w:val="0060283C"/>
    <w:rsid w:val="00604A1C"/>
    <w:rsid w:val="00604F14"/>
    <w:rsid w:val="0061140B"/>
    <w:rsid w:val="00611B83"/>
    <w:rsid w:val="00613257"/>
    <w:rsid w:val="00615618"/>
    <w:rsid w:val="00620A71"/>
    <w:rsid w:val="00620D80"/>
    <w:rsid w:val="006234A6"/>
    <w:rsid w:val="00630001"/>
    <w:rsid w:val="006311B3"/>
    <w:rsid w:val="00631CA0"/>
    <w:rsid w:val="0063284C"/>
    <w:rsid w:val="00636398"/>
    <w:rsid w:val="006368D3"/>
    <w:rsid w:val="006377EC"/>
    <w:rsid w:val="0064151F"/>
    <w:rsid w:val="00641533"/>
    <w:rsid w:val="0064208D"/>
    <w:rsid w:val="00643475"/>
    <w:rsid w:val="0064396A"/>
    <w:rsid w:val="0064624E"/>
    <w:rsid w:val="00650AB9"/>
    <w:rsid w:val="00655733"/>
    <w:rsid w:val="00655ACD"/>
    <w:rsid w:val="0065632E"/>
    <w:rsid w:val="00656A92"/>
    <w:rsid w:val="00656DDE"/>
    <w:rsid w:val="0066011D"/>
    <w:rsid w:val="006607C0"/>
    <w:rsid w:val="006613A6"/>
    <w:rsid w:val="006627A2"/>
    <w:rsid w:val="006634E6"/>
    <w:rsid w:val="006655EE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ECE"/>
    <w:rsid w:val="00695FC2"/>
    <w:rsid w:val="00696949"/>
    <w:rsid w:val="00697052"/>
    <w:rsid w:val="006A46FB"/>
    <w:rsid w:val="006A5E28"/>
    <w:rsid w:val="006A697B"/>
    <w:rsid w:val="006A7AFF"/>
    <w:rsid w:val="006B1816"/>
    <w:rsid w:val="006B2099"/>
    <w:rsid w:val="006B50CF"/>
    <w:rsid w:val="006C03B8"/>
    <w:rsid w:val="006C0E38"/>
    <w:rsid w:val="006C5EC9"/>
    <w:rsid w:val="006C6059"/>
    <w:rsid w:val="006C7522"/>
    <w:rsid w:val="006D6F08"/>
    <w:rsid w:val="006E062C"/>
    <w:rsid w:val="006E28B7"/>
    <w:rsid w:val="006E3310"/>
    <w:rsid w:val="006E4E39"/>
    <w:rsid w:val="006E531C"/>
    <w:rsid w:val="006E565E"/>
    <w:rsid w:val="006E673D"/>
    <w:rsid w:val="006E7D3B"/>
    <w:rsid w:val="006F1B70"/>
    <w:rsid w:val="006F1C0A"/>
    <w:rsid w:val="006F341D"/>
    <w:rsid w:val="006F3CDE"/>
    <w:rsid w:val="006F41FD"/>
    <w:rsid w:val="006F58D4"/>
    <w:rsid w:val="0070346E"/>
    <w:rsid w:val="00704EDB"/>
    <w:rsid w:val="00706101"/>
    <w:rsid w:val="00707072"/>
    <w:rsid w:val="00707D61"/>
    <w:rsid w:val="00711DBA"/>
    <w:rsid w:val="00712287"/>
    <w:rsid w:val="00712772"/>
    <w:rsid w:val="007148D3"/>
    <w:rsid w:val="00715B9A"/>
    <w:rsid w:val="00726EA6"/>
    <w:rsid w:val="00727208"/>
    <w:rsid w:val="00727680"/>
    <w:rsid w:val="007348B1"/>
    <w:rsid w:val="007362A6"/>
    <w:rsid w:val="00736D7D"/>
    <w:rsid w:val="00740E58"/>
    <w:rsid w:val="007445A0"/>
    <w:rsid w:val="0074524B"/>
    <w:rsid w:val="00747D8B"/>
    <w:rsid w:val="00751228"/>
    <w:rsid w:val="007571E1"/>
    <w:rsid w:val="007604B2"/>
    <w:rsid w:val="0076216E"/>
    <w:rsid w:val="00765281"/>
    <w:rsid w:val="00766BAD"/>
    <w:rsid w:val="007730BD"/>
    <w:rsid w:val="007755F2"/>
    <w:rsid w:val="00776971"/>
    <w:rsid w:val="0078177E"/>
    <w:rsid w:val="0078304C"/>
    <w:rsid w:val="00783673"/>
    <w:rsid w:val="00785490"/>
    <w:rsid w:val="007925EA"/>
    <w:rsid w:val="00793CD8"/>
    <w:rsid w:val="00795C92"/>
    <w:rsid w:val="00796231"/>
    <w:rsid w:val="007A1CB3"/>
    <w:rsid w:val="007A306F"/>
    <w:rsid w:val="007A43A6"/>
    <w:rsid w:val="007A58A6"/>
    <w:rsid w:val="007A7319"/>
    <w:rsid w:val="007B3D2D"/>
    <w:rsid w:val="007B50AE"/>
    <w:rsid w:val="007B51DF"/>
    <w:rsid w:val="007B53CB"/>
    <w:rsid w:val="007B68FC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610"/>
    <w:rsid w:val="007E4715"/>
    <w:rsid w:val="007E505B"/>
    <w:rsid w:val="007E7091"/>
    <w:rsid w:val="007F542B"/>
    <w:rsid w:val="00803FAE"/>
    <w:rsid w:val="0080605F"/>
    <w:rsid w:val="00807786"/>
    <w:rsid w:val="00811FCB"/>
    <w:rsid w:val="008142E6"/>
    <w:rsid w:val="008158D6"/>
    <w:rsid w:val="00817196"/>
    <w:rsid w:val="008235DB"/>
    <w:rsid w:val="00824AB4"/>
    <w:rsid w:val="00825C42"/>
    <w:rsid w:val="00825D25"/>
    <w:rsid w:val="00827D6F"/>
    <w:rsid w:val="008376AC"/>
    <w:rsid w:val="008444E8"/>
    <w:rsid w:val="00844E80"/>
    <w:rsid w:val="00846FE7"/>
    <w:rsid w:val="00851EEF"/>
    <w:rsid w:val="00854F97"/>
    <w:rsid w:val="00855191"/>
    <w:rsid w:val="00856911"/>
    <w:rsid w:val="008600A3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4A88"/>
    <w:rsid w:val="00895386"/>
    <w:rsid w:val="008A1F6E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4F37"/>
    <w:rsid w:val="008C6AE8"/>
    <w:rsid w:val="008C7573"/>
    <w:rsid w:val="008D34F1"/>
    <w:rsid w:val="008D39D8"/>
    <w:rsid w:val="008D6D1A"/>
    <w:rsid w:val="008E065E"/>
    <w:rsid w:val="008E0927"/>
    <w:rsid w:val="008E1909"/>
    <w:rsid w:val="008E7D8C"/>
    <w:rsid w:val="008F1EAB"/>
    <w:rsid w:val="008F33DC"/>
    <w:rsid w:val="008F477F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6079"/>
    <w:rsid w:val="00917CE9"/>
    <w:rsid w:val="00920BF2"/>
    <w:rsid w:val="00922010"/>
    <w:rsid w:val="009244E1"/>
    <w:rsid w:val="00931BD9"/>
    <w:rsid w:val="009368F3"/>
    <w:rsid w:val="00941636"/>
    <w:rsid w:val="00941A47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20B3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4DCA"/>
    <w:rsid w:val="009960EC"/>
    <w:rsid w:val="009970DD"/>
    <w:rsid w:val="009A0FBA"/>
    <w:rsid w:val="009A1601"/>
    <w:rsid w:val="009A462D"/>
    <w:rsid w:val="009A5CBA"/>
    <w:rsid w:val="009B1F30"/>
    <w:rsid w:val="009B3AC2"/>
    <w:rsid w:val="009B4DF4"/>
    <w:rsid w:val="009B564E"/>
    <w:rsid w:val="009B7E87"/>
    <w:rsid w:val="009C0B57"/>
    <w:rsid w:val="009C1E96"/>
    <w:rsid w:val="009C403E"/>
    <w:rsid w:val="009D4FF0"/>
    <w:rsid w:val="009D703C"/>
    <w:rsid w:val="009D718F"/>
    <w:rsid w:val="009E068F"/>
    <w:rsid w:val="009E1070"/>
    <w:rsid w:val="009E14E0"/>
    <w:rsid w:val="009E35DB"/>
    <w:rsid w:val="009E47A3"/>
    <w:rsid w:val="009F08F3"/>
    <w:rsid w:val="009F344F"/>
    <w:rsid w:val="00A01B7D"/>
    <w:rsid w:val="00A048A8"/>
    <w:rsid w:val="00A04F49"/>
    <w:rsid w:val="00A13E54"/>
    <w:rsid w:val="00A17F63"/>
    <w:rsid w:val="00A2052C"/>
    <w:rsid w:val="00A2193B"/>
    <w:rsid w:val="00A2351A"/>
    <w:rsid w:val="00A25529"/>
    <w:rsid w:val="00A264A9"/>
    <w:rsid w:val="00A27785"/>
    <w:rsid w:val="00A30187"/>
    <w:rsid w:val="00A3448A"/>
    <w:rsid w:val="00A36297"/>
    <w:rsid w:val="00A41E2B"/>
    <w:rsid w:val="00A45B74"/>
    <w:rsid w:val="00A47E0C"/>
    <w:rsid w:val="00A52E1D"/>
    <w:rsid w:val="00A55B7E"/>
    <w:rsid w:val="00A56357"/>
    <w:rsid w:val="00A608CC"/>
    <w:rsid w:val="00A61499"/>
    <w:rsid w:val="00A62A77"/>
    <w:rsid w:val="00A63483"/>
    <w:rsid w:val="00A657D7"/>
    <w:rsid w:val="00A660AC"/>
    <w:rsid w:val="00A66E8D"/>
    <w:rsid w:val="00A66F55"/>
    <w:rsid w:val="00A67E6C"/>
    <w:rsid w:val="00A71B99"/>
    <w:rsid w:val="00A739D0"/>
    <w:rsid w:val="00A761D4"/>
    <w:rsid w:val="00A77EC4"/>
    <w:rsid w:val="00A92879"/>
    <w:rsid w:val="00A9442A"/>
    <w:rsid w:val="00A95E9B"/>
    <w:rsid w:val="00AA016F"/>
    <w:rsid w:val="00AA1ED6"/>
    <w:rsid w:val="00AA267C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D0AA3"/>
    <w:rsid w:val="00AD3F94"/>
    <w:rsid w:val="00AD4A5A"/>
    <w:rsid w:val="00AE27AC"/>
    <w:rsid w:val="00AE3743"/>
    <w:rsid w:val="00AE40E0"/>
    <w:rsid w:val="00AE4DBA"/>
    <w:rsid w:val="00AE4F07"/>
    <w:rsid w:val="00AE6BB5"/>
    <w:rsid w:val="00AF1C5D"/>
    <w:rsid w:val="00AF42D7"/>
    <w:rsid w:val="00B006FE"/>
    <w:rsid w:val="00B007CB"/>
    <w:rsid w:val="00B02AA9"/>
    <w:rsid w:val="00B02FA3"/>
    <w:rsid w:val="00B05084"/>
    <w:rsid w:val="00B157F9"/>
    <w:rsid w:val="00B20256"/>
    <w:rsid w:val="00B20D09"/>
    <w:rsid w:val="00B20FC3"/>
    <w:rsid w:val="00B2763F"/>
    <w:rsid w:val="00B27AAC"/>
    <w:rsid w:val="00B30929"/>
    <w:rsid w:val="00B372AA"/>
    <w:rsid w:val="00B40445"/>
    <w:rsid w:val="00B41888"/>
    <w:rsid w:val="00B45A52"/>
    <w:rsid w:val="00B46175"/>
    <w:rsid w:val="00B5081A"/>
    <w:rsid w:val="00B519BD"/>
    <w:rsid w:val="00B569D7"/>
    <w:rsid w:val="00B6188F"/>
    <w:rsid w:val="00B664C7"/>
    <w:rsid w:val="00B739F6"/>
    <w:rsid w:val="00B754B5"/>
    <w:rsid w:val="00B761EB"/>
    <w:rsid w:val="00B81A6C"/>
    <w:rsid w:val="00B85DE5"/>
    <w:rsid w:val="00B90F73"/>
    <w:rsid w:val="00B93B59"/>
    <w:rsid w:val="00B9406A"/>
    <w:rsid w:val="00BA2280"/>
    <w:rsid w:val="00BA2A08"/>
    <w:rsid w:val="00BA5234"/>
    <w:rsid w:val="00BA56D2"/>
    <w:rsid w:val="00BA5C25"/>
    <w:rsid w:val="00BA76E0"/>
    <w:rsid w:val="00BB2A25"/>
    <w:rsid w:val="00BB51E9"/>
    <w:rsid w:val="00BC0FDC"/>
    <w:rsid w:val="00BC3053"/>
    <w:rsid w:val="00BC4D2E"/>
    <w:rsid w:val="00BD48AC"/>
    <w:rsid w:val="00BD5F1A"/>
    <w:rsid w:val="00BE1234"/>
    <w:rsid w:val="00BE2A3C"/>
    <w:rsid w:val="00BE2FA6"/>
    <w:rsid w:val="00BE333F"/>
    <w:rsid w:val="00BE7406"/>
    <w:rsid w:val="00BE7603"/>
    <w:rsid w:val="00BF3279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24345"/>
    <w:rsid w:val="00C279B5"/>
    <w:rsid w:val="00C27C45"/>
    <w:rsid w:val="00C3719D"/>
    <w:rsid w:val="00C37CC4"/>
    <w:rsid w:val="00C54995"/>
    <w:rsid w:val="00C54D41"/>
    <w:rsid w:val="00C60783"/>
    <w:rsid w:val="00C64672"/>
    <w:rsid w:val="00C7051F"/>
    <w:rsid w:val="00C70697"/>
    <w:rsid w:val="00C72EF4"/>
    <w:rsid w:val="00C75D2F"/>
    <w:rsid w:val="00C767BE"/>
    <w:rsid w:val="00C76E3C"/>
    <w:rsid w:val="00C81568"/>
    <w:rsid w:val="00C9027A"/>
    <w:rsid w:val="00C9068E"/>
    <w:rsid w:val="00C93C4B"/>
    <w:rsid w:val="00C944AB"/>
    <w:rsid w:val="00C95B40"/>
    <w:rsid w:val="00CA1ED8"/>
    <w:rsid w:val="00CA6BF4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E0424"/>
    <w:rsid w:val="00CE7561"/>
    <w:rsid w:val="00CF1354"/>
    <w:rsid w:val="00CF2FF4"/>
    <w:rsid w:val="00CF3B1F"/>
    <w:rsid w:val="00CF3BF6"/>
    <w:rsid w:val="00CF625B"/>
    <w:rsid w:val="00CF687E"/>
    <w:rsid w:val="00D0349B"/>
    <w:rsid w:val="00D10249"/>
    <w:rsid w:val="00D115C3"/>
    <w:rsid w:val="00D11897"/>
    <w:rsid w:val="00D13135"/>
    <w:rsid w:val="00D13E4E"/>
    <w:rsid w:val="00D239A7"/>
    <w:rsid w:val="00D23F47"/>
    <w:rsid w:val="00D36E71"/>
    <w:rsid w:val="00D37D87"/>
    <w:rsid w:val="00D40B33"/>
    <w:rsid w:val="00D4318F"/>
    <w:rsid w:val="00D438BF"/>
    <w:rsid w:val="00D440F8"/>
    <w:rsid w:val="00D50F97"/>
    <w:rsid w:val="00D546FF"/>
    <w:rsid w:val="00D55AD5"/>
    <w:rsid w:val="00D576CA"/>
    <w:rsid w:val="00D61AF5"/>
    <w:rsid w:val="00D652B5"/>
    <w:rsid w:val="00D66155"/>
    <w:rsid w:val="00D666C9"/>
    <w:rsid w:val="00D676DA"/>
    <w:rsid w:val="00D708B0"/>
    <w:rsid w:val="00D775A8"/>
    <w:rsid w:val="00D77B1D"/>
    <w:rsid w:val="00D8021F"/>
    <w:rsid w:val="00D80383"/>
    <w:rsid w:val="00D823C6"/>
    <w:rsid w:val="00D86CA3"/>
    <w:rsid w:val="00D871CE"/>
    <w:rsid w:val="00D9196D"/>
    <w:rsid w:val="00D92982"/>
    <w:rsid w:val="00DA243C"/>
    <w:rsid w:val="00DA305E"/>
    <w:rsid w:val="00DA5417"/>
    <w:rsid w:val="00DA56E8"/>
    <w:rsid w:val="00DB0A9F"/>
    <w:rsid w:val="00DB377D"/>
    <w:rsid w:val="00DC2D36"/>
    <w:rsid w:val="00DC53EF"/>
    <w:rsid w:val="00DD2B54"/>
    <w:rsid w:val="00DE5608"/>
    <w:rsid w:val="00DE58D0"/>
    <w:rsid w:val="00DE654F"/>
    <w:rsid w:val="00DF0B6E"/>
    <w:rsid w:val="00DF15E0"/>
    <w:rsid w:val="00DF37A0"/>
    <w:rsid w:val="00E05CEE"/>
    <w:rsid w:val="00E110E7"/>
    <w:rsid w:val="00E11B20"/>
    <w:rsid w:val="00E17FA2"/>
    <w:rsid w:val="00E22330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0A17"/>
    <w:rsid w:val="00E53B75"/>
    <w:rsid w:val="00E54E3B"/>
    <w:rsid w:val="00E57565"/>
    <w:rsid w:val="00E63838"/>
    <w:rsid w:val="00E64434"/>
    <w:rsid w:val="00E67C51"/>
    <w:rsid w:val="00E72EFC"/>
    <w:rsid w:val="00E758EC"/>
    <w:rsid w:val="00E8234C"/>
    <w:rsid w:val="00E83AA9"/>
    <w:rsid w:val="00E85928"/>
    <w:rsid w:val="00E87612"/>
    <w:rsid w:val="00E87822"/>
    <w:rsid w:val="00E90395"/>
    <w:rsid w:val="00E90E49"/>
    <w:rsid w:val="00E917F9"/>
    <w:rsid w:val="00E9269D"/>
    <w:rsid w:val="00E9291C"/>
    <w:rsid w:val="00E93FFE"/>
    <w:rsid w:val="00E94F8A"/>
    <w:rsid w:val="00EA7A41"/>
    <w:rsid w:val="00EB077B"/>
    <w:rsid w:val="00EB4EA2"/>
    <w:rsid w:val="00EC27C6"/>
    <w:rsid w:val="00EC4207"/>
    <w:rsid w:val="00EC5653"/>
    <w:rsid w:val="00EC5C3A"/>
    <w:rsid w:val="00EC71CE"/>
    <w:rsid w:val="00ED1006"/>
    <w:rsid w:val="00EF18FE"/>
    <w:rsid w:val="00EF5787"/>
    <w:rsid w:val="00EF60D0"/>
    <w:rsid w:val="00F02BB1"/>
    <w:rsid w:val="00F0528D"/>
    <w:rsid w:val="00F0610B"/>
    <w:rsid w:val="00F06C67"/>
    <w:rsid w:val="00F06DFD"/>
    <w:rsid w:val="00F071D1"/>
    <w:rsid w:val="00F07533"/>
    <w:rsid w:val="00F10629"/>
    <w:rsid w:val="00F12351"/>
    <w:rsid w:val="00F15FA5"/>
    <w:rsid w:val="00F209B7"/>
    <w:rsid w:val="00F2376F"/>
    <w:rsid w:val="00F243D8"/>
    <w:rsid w:val="00F3054B"/>
    <w:rsid w:val="00F30828"/>
    <w:rsid w:val="00F313D6"/>
    <w:rsid w:val="00F31424"/>
    <w:rsid w:val="00F351BB"/>
    <w:rsid w:val="00F36AC9"/>
    <w:rsid w:val="00F40F0C"/>
    <w:rsid w:val="00F4700D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0966"/>
    <w:rsid w:val="00F71F69"/>
    <w:rsid w:val="00F72B72"/>
    <w:rsid w:val="00F74BB9"/>
    <w:rsid w:val="00F75582"/>
    <w:rsid w:val="00F76EFA"/>
    <w:rsid w:val="00F804BE"/>
    <w:rsid w:val="00F817CE"/>
    <w:rsid w:val="00F8456C"/>
    <w:rsid w:val="00F859D8"/>
    <w:rsid w:val="00F868F5"/>
    <w:rsid w:val="00F9056A"/>
    <w:rsid w:val="00F90F8D"/>
    <w:rsid w:val="00F92782"/>
    <w:rsid w:val="00F93AA9"/>
    <w:rsid w:val="00F96985"/>
    <w:rsid w:val="00F97838"/>
    <w:rsid w:val="00FA2BB3"/>
    <w:rsid w:val="00FA6FF4"/>
    <w:rsid w:val="00FB385D"/>
    <w:rsid w:val="00FB4C80"/>
    <w:rsid w:val="00FB6A6A"/>
    <w:rsid w:val="00FC7429"/>
    <w:rsid w:val="00FD07F6"/>
    <w:rsid w:val="00FD14DB"/>
    <w:rsid w:val="00FD1EC8"/>
    <w:rsid w:val="00FD47ED"/>
    <w:rsid w:val="00FD74DB"/>
    <w:rsid w:val="00FD7660"/>
    <w:rsid w:val="00FE0655"/>
    <w:rsid w:val="00FE2365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BE4EFCE"/>
  <w15:chartTrackingRefBased/>
  <w15:docId w15:val="{B80890D0-582B-4535-A271-A4E2CE3A88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600A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8600A3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qFormat/>
    <w:rsid w:val="008600A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8600A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8600A3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8600A3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8600A3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8600A3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8600A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8600A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8600A3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8600A3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8600A3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600A3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8600A3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8600A3"/>
    <w:pPr>
      <w:ind w:left="1418" w:hanging="1418"/>
    </w:pPr>
  </w:style>
  <w:style w:type="paragraph" w:styleId="TOC3">
    <w:name w:val="toc 3"/>
    <w:basedOn w:val="TOC2"/>
    <w:semiHidden/>
    <w:rsid w:val="008600A3"/>
    <w:pPr>
      <w:ind w:left="1134" w:hanging="1134"/>
    </w:pPr>
  </w:style>
  <w:style w:type="paragraph" w:styleId="TOC2">
    <w:name w:val="toc 2"/>
    <w:basedOn w:val="TOC1"/>
    <w:semiHidden/>
    <w:rsid w:val="008600A3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8600A3"/>
    <w:pPr>
      <w:ind w:left="284"/>
    </w:pPr>
  </w:style>
  <w:style w:type="paragraph" w:styleId="Index1">
    <w:name w:val="index 1"/>
    <w:basedOn w:val="Normal"/>
    <w:semiHidden/>
    <w:rsid w:val="008600A3"/>
    <w:pPr>
      <w:keepLines/>
      <w:spacing w:after="0"/>
    </w:pPr>
  </w:style>
  <w:style w:type="paragraph" w:styleId="DocumentMap">
    <w:name w:val="Document Map"/>
    <w:basedOn w:val="Normal"/>
    <w:semiHidden/>
    <w:rsid w:val="008600A3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8600A3"/>
    <w:pPr>
      <w:ind w:left="851"/>
    </w:pPr>
  </w:style>
  <w:style w:type="paragraph" w:styleId="ListNumber">
    <w:name w:val="List Number"/>
    <w:basedOn w:val="List"/>
    <w:rsid w:val="008600A3"/>
  </w:style>
  <w:style w:type="paragraph" w:styleId="List">
    <w:name w:val="List"/>
    <w:basedOn w:val="Normal"/>
    <w:rsid w:val="008600A3"/>
    <w:pPr>
      <w:ind w:left="568" w:hanging="284"/>
    </w:pPr>
  </w:style>
  <w:style w:type="paragraph" w:styleId="Header">
    <w:name w:val="header"/>
    <w:rsid w:val="008600A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8600A3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8600A3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8600A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8600A3"/>
    <w:pPr>
      <w:ind w:left="1418" w:hanging="1418"/>
    </w:pPr>
  </w:style>
  <w:style w:type="paragraph" w:styleId="TOC6">
    <w:name w:val="toc 6"/>
    <w:basedOn w:val="TOC5"/>
    <w:next w:val="Normal"/>
    <w:semiHidden/>
    <w:rsid w:val="008600A3"/>
    <w:pPr>
      <w:ind w:left="1985" w:hanging="1985"/>
    </w:pPr>
  </w:style>
  <w:style w:type="paragraph" w:styleId="TOC7">
    <w:name w:val="toc 7"/>
    <w:basedOn w:val="TOC6"/>
    <w:next w:val="Normal"/>
    <w:semiHidden/>
    <w:rsid w:val="008600A3"/>
    <w:pPr>
      <w:ind w:left="2268" w:hanging="2268"/>
    </w:pPr>
  </w:style>
  <w:style w:type="paragraph" w:styleId="ListBullet2">
    <w:name w:val="List Bullet 2"/>
    <w:basedOn w:val="ListBullet"/>
    <w:rsid w:val="008600A3"/>
    <w:pPr>
      <w:numPr>
        <w:numId w:val="6"/>
      </w:numPr>
    </w:pPr>
  </w:style>
  <w:style w:type="paragraph" w:styleId="ListBullet">
    <w:name w:val="List Bullet"/>
    <w:basedOn w:val="BodyText"/>
    <w:rsid w:val="008600A3"/>
    <w:pPr>
      <w:numPr>
        <w:numId w:val="5"/>
      </w:numPr>
    </w:pPr>
  </w:style>
  <w:style w:type="paragraph" w:styleId="ListBullet3">
    <w:name w:val="List Bullet 3"/>
    <w:basedOn w:val="ListBullet2"/>
    <w:rsid w:val="008600A3"/>
    <w:pPr>
      <w:numPr>
        <w:numId w:val="7"/>
      </w:numPr>
    </w:pPr>
  </w:style>
  <w:style w:type="paragraph" w:customStyle="1" w:styleId="EQ">
    <w:name w:val="EQ"/>
    <w:basedOn w:val="Normal"/>
    <w:next w:val="Normal"/>
    <w:rsid w:val="008600A3"/>
    <w:pPr>
      <w:keepLines/>
      <w:tabs>
        <w:tab w:val="center" w:pos="4536"/>
        <w:tab w:val="right" w:pos="9072"/>
      </w:tabs>
      <w:spacing w:after="180"/>
      <w:jc w:val="left"/>
    </w:pPr>
    <w:rPr>
      <w:noProof/>
      <w:lang w:eastAsia="en-US"/>
    </w:rPr>
  </w:style>
  <w:style w:type="paragraph" w:styleId="List2">
    <w:name w:val="List 2"/>
    <w:basedOn w:val="List"/>
    <w:rsid w:val="008600A3"/>
    <w:pPr>
      <w:ind w:left="851"/>
    </w:pPr>
  </w:style>
  <w:style w:type="paragraph" w:styleId="List3">
    <w:name w:val="List 3"/>
    <w:basedOn w:val="List2"/>
    <w:rsid w:val="008600A3"/>
    <w:pPr>
      <w:ind w:left="1135"/>
    </w:pPr>
  </w:style>
  <w:style w:type="paragraph" w:styleId="List4">
    <w:name w:val="List 4"/>
    <w:basedOn w:val="List3"/>
    <w:rsid w:val="008600A3"/>
    <w:pPr>
      <w:ind w:left="1418"/>
    </w:pPr>
  </w:style>
  <w:style w:type="paragraph" w:styleId="List5">
    <w:name w:val="List 5"/>
    <w:basedOn w:val="List4"/>
    <w:rsid w:val="008600A3"/>
    <w:pPr>
      <w:ind w:left="1702"/>
    </w:pPr>
  </w:style>
  <w:style w:type="paragraph" w:customStyle="1" w:styleId="EditorsNote">
    <w:name w:val="Editor's Note"/>
    <w:basedOn w:val="Normal"/>
    <w:rsid w:val="008600A3"/>
    <w:pPr>
      <w:keepLines/>
      <w:spacing w:after="180"/>
      <w:ind w:left="1135" w:hanging="851"/>
      <w:jc w:val="left"/>
    </w:pPr>
    <w:rPr>
      <w:color w:val="FF0000"/>
      <w:lang w:eastAsia="en-US"/>
    </w:rPr>
  </w:style>
  <w:style w:type="paragraph" w:styleId="ListBullet4">
    <w:name w:val="List Bullet 4"/>
    <w:basedOn w:val="ListBullet3"/>
    <w:rsid w:val="008600A3"/>
    <w:pPr>
      <w:numPr>
        <w:numId w:val="8"/>
      </w:numPr>
    </w:pPr>
  </w:style>
  <w:style w:type="paragraph" w:styleId="ListBullet5">
    <w:name w:val="List Bullet 5"/>
    <w:basedOn w:val="ListBullet4"/>
    <w:rsid w:val="008600A3"/>
    <w:pPr>
      <w:numPr>
        <w:numId w:val="4"/>
      </w:numPr>
    </w:pPr>
  </w:style>
  <w:style w:type="paragraph" w:styleId="Footer">
    <w:name w:val="footer"/>
    <w:basedOn w:val="Header"/>
    <w:semiHidden/>
    <w:rsid w:val="008600A3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8600A3"/>
    <w:pPr>
      <w:numPr>
        <w:numId w:val="2"/>
      </w:numPr>
    </w:pPr>
  </w:style>
  <w:style w:type="paragraph" w:styleId="BalloonText">
    <w:name w:val="Balloon Text"/>
    <w:basedOn w:val="Normal"/>
    <w:semiHidden/>
    <w:rsid w:val="008600A3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8600A3"/>
  </w:style>
  <w:style w:type="paragraph" w:styleId="BodyText">
    <w:name w:val="Body Text"/>
    <w:basedOn w:val="Normal"/>
    <w:link w:val="BodyTextChar"/>
    <w:rsid w:val="008600A3"/>
  </w:style>
  <w:style w:type="character" w:styleId="Hyperlink">
    <w:name w:val="Hyperlink"/>
    <w:uiPriority w:val="99"/>
    <w:rsid w:val="008600A3"/>
    <w:rPr>
      <w:color w:val="0000FF"/>
      <w:u w:val="single"/>
      <w:lang w:val="en-GB"/>
    </w:rPr>
  </w:style>
  <w:style w:type="character" w:styleId="FollowedHyperlink">
    <w:name w:val="FollowedHyperlink"/>
    <w:semiHidden/>
    <w:rsid w:val="008600A3"/>
    <w:rPr>
      <w:color w:val="FF0000"/>
      <w:u w:val="single"/>
    </w:rPr>
  </w:style>
  <w:style w:type="character" w:styleId="CommentReference">
    <w:name w:val="annotation reference"/>
    <w:semiHidden/>
    <w:rsid w:val="008600A3"/>
    <w:rPr>
      <w:sz w:val="16"/>
      <w:szCs w:val="16"/>
    </w:rPr>
  </w:style>
  <w:style w:type="paragraph" w:styleId="CommentText">
    <w:name w:val="annotation text"/>
    <w:basedOn w:val="Normal"/>
    <w:semiHidden/>
    <w:rsid w:val="008600A3"/>
  </w:style>
  <w:style w:type="paragraph" w:styleId="CommentSubject">
    <w:name w:val="annotation subject"/>
    <w:basedOn w:val="CommentText"/>
    <w:next w:val="CommentText"/>
    <w:semiHidden/>
    <w:rsid w:val="008600A3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8600A3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8600A3"/>
    <w:pPr>
      <w:spacing w:after="180"/>
      <w:jc w:val="left"/>
    </w:pPr>
    <w:rPr>
      <w:lang w:eastAsia="en-US"/>
    </w:rPr>
  </w:style>
  <w:style w:type="paragraph" w:customStyle="1" w:styleId="B2">
    <w:name w:val="B2"/>
    <w:basedOn w:val="List2"/>
    <w:rsid w:val="008600A3"/>
    <w:pPr>
      <w:spacing w:after="180"/>
      <w:jc w:val="left"/>
    </w:pPr>
    <w:rPr>
      <w:lang w:eastAsia="en-US"/>
    </w:rPr>
  </w:style>
  <w:style w:type="paragraph" w:customStyle="1" w:styleId="B3">
    <w:name w:val="B3"/>
    <w:basedOn w:val="List3"/>
    <w:rsid w:val="008600A3"/>
    <w:pPr>
      <w:spacing w:after="180"/>
      <w:jc w:val="left"/>
    </w:pPr>
    <w:rPr>
      <w:lang w:eastAsia="en-US"/>
    </w:rPr>
  </w:style>
  <w:style w:type="paragraph" w:customStyle="1" w:styleId="B4">
    <w:name w:val="B4"/>
    <w:basedOn w:val="List4"/>
    <w:rsid w:val="008600A3"/>
    <w:pPr>
      <w:spacing w:after="180"/>
      <w:jc w:val="left"/>
    </w:pPr>
    <w:rPr>
      <w:lang w:eastAsia="en-US"/>
    </w:rPr>
  </w:style>
  <w:style w:type="paragraph" w:customStyle="1" w:styleId="Proposal">
    <w:name w:val="Proposal"/>
    <w:basedOn w:val="Normal"/>
    <w:rsid w:val="008600A3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600A3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8600A3"/>
    <w:pPr>
      <w:spacing w:after="180"/>
      <w:jc w:val="left"/>
    </w:pPr>
    <w:rPr>
      <w:lang w:eastAsia="en-US"/>
    </w:rPr>
  </w:style>
  <w:style w:type="paragraph" w:customStyle="1" w:styleId="EX">
    <w:name w:val="EX"/>
    <w:basedOn w:val="Normal"/>
    <w:rsid w:val="008600A3"/>
    <w:pPr>
      <w:keepLines/>
      <w:spacing w:after="180"/>
      <w:ind w:left="1702" w:hanging="1418"/>
      <w:jc w:val="left"/>
    </w:pPr>
    <w:rPr>
      <w:lang w:eastAsia="en-US"/>
    </w:rPr>
  </w:style>
  <w:style w:type="paragraph" w:customStyle="1" w:styleId="EW">
    <w:name w:val="EW"/>
    <w:basedOn w:val="EX"/>
    <w:rsid w:val="008600A3"/>
    <w:pPr>
      <w:spacing w:after="0"/>
    </w:pPr>
  </w:style>
  <w:style w:type="paragraph" w:customStyle="1" w:styleId="TAL">
    <w:name w:val="TAL"/>
    <w:basedOn w:val="Normal"/>
    <w:rsid w:val="008600A3"/>
    <w:pPr>
      <w:keepNext/>
      <w:keepLines/>
      <w:spacing w:after="0"/>
      <w:jc w:val="left"/>
    </w:pPr>
    <w:rPr>
      <w:sz w:val="18"/>
      <w:lang w:eastAsia="en-US"/>
    </w:rPr>
  </w:style>
  <w:style w:type="paragraph" w:customStyle="1" w:styleId="TAC">
    <w:name w:val="TAC"/>
    <w:basedOn w:val="TAL"/>
    <w:rsid w:val="008600A3"/>
    <w:pPr>
      <w:jc w:val="center"/>
    </w:pPr>
  </w:style>
  <w:style w:type="paragraph" w:customStyle="1" w:styleId="TAH">
    <w:name w:val="TAH"/>
    <w:basedOn w:val="TAC"/>
    <w:rsid w:val="008600A3"/>
    <w:rPr>
      <w:b/>
    </w:rPr>
  </w:style>
  <w:style w:type="paragraph" w:customStyle="1" w:styleId="TAN">
    <w:name w:val="TAN"/>
    <w:basedOn w:val="TAL"/>
    <w:rsid w:val="008600A3"/>
    <w:pPr>
      <w:ind w:left="851" w:hanging="851"/>
    </w:pPr>
  </w:style>
  <w:style w:type="paragraph" w:customStyle="1" w:styleId="TAR">
    <w:name w:val="TAR"/>
    <w:basedOn w:val="TAL"/>
    <w:rsid w:val="008600A3"/>
    <w:pPr>
      <w:jc w:val="right"/>
    </w:pPr>
  </w:style>
  <w:style w:type="paragraph" w:customStyle="1" w:styleId="TH">
    <w:name w:val="TH"/>
    <w:basedOn w:val="Normal"/>
    <w:rsid w:val="008600A3"/>
    <w:pPr>
      <w:keepNext/>
      <w:keepLines/>
      <w:spacing w:before="60" w:after="180"/>
      <w:jc w:val="center"/>
    </w:pPr>
    <w:rPr>
      <w:b/>
      <w:lang w:eastAsia="en-US"/>
    </w:rPr>
  </w:style>
  <w:style w:type="paragraph" w:customStyle="1" w:styleId="TF">
    <w:name w:val="TF"/>
    <w:basedOn w:val="TH"/>
    <w:rsid w:val="008600A3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600A3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8600A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8600A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8600A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8600A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8600A3"/>
  </w:style>
  <w:style w:type="paragraph" w:customStyle="1" w:styleId="ZH">
    <w:name w:val="ZH"/>
    <w:rsid w:val="008600A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8600A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8600A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600A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8600A3"/>
    <w:pPr>
      <w:framePr w:wrap="notBeside" w:y="16161"/>
    </w:pPr>
  </w:style>
  <w:style w:type="paragraph" w:customStyle="1" w:styleId="FP">
    <w:name w:val="FP"/>
    <w:basedOn w:val="Normal"/>
    <w:rsid w:val="008600A3"/>
    <w:pPr>
      <w:spacing w:after="0"/>
      <w:jc w:val="left"/>
    </w:pPr>
    <w:rPr>
      <w:lang w:eastAsia="en-US"/>
    </w:rPr>
  </w:style>
  <w:style w:type="paragraph" w:customStyle="1" w:styleId="Observation">
    <w:name w:val="Observation"/>
    <w:basedOn w:val="Proposal"/>
    <w:qFormat/>
    <w:rsid w:val="008600A3"/>
    <w:pPr>
      <w:numPr>
        <w:numId w:val="9"/>
      </w:numPr>
    </w:pPr>
  </w:style>
  <w:style w:type="paragraph" w:styleId="TableofFigures">
    <w:name w:val="table of figures"/>
    <w:basedOn w:val="Normal"/>
    <w:next w:val="Normal"/>
    <w:uiPriority w:val="99"/>
    <w:rsid w:val="008600A3"/>
    <w:pPr>
      <w:ind w:left="1418" w:hanging="1418"/>
      <w:jc w:val="left"/>
    </w:pPr>
    <w:rPr>
      <w:b/>
    </w:rPr>
  </w:style>
  <w:style w:type="paragraph" w:customStyle="1" w:styleId="Doc-text2">
    <w:name w:val="Doc-text2"/>
    <w:basedOn w:val="Normal"/>
    <w:link w:val="Doc-text2Char"/>
    <w:qFormat/>
    <w:rsid w:val="008600A3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8600A3"/>
    <w:rPr>
      <w:rFonts w:ascii="Arial" w:eastAsia="MS Mincho" w:hAnsi="Arial"/>
      <w:szCs w:val="24"/>
      <w:lang w:val="en-GB" w:eastAsia="en-GB"/>
    </w:rPr>
  </w:style>
  <w:style w:type="character" w:customStyle="1" w:styleId="ListParagraphChar">
    <w:name w:val="List Paragraph Char"/>
    <w:link w:val="ListParagraph"/>
    <w:uiPriority w:val="34"/>
    <w:locked/>
    <w:rsid w:val="00A56357"/>
    <w:rPr>
      <w:rFonts w:ascii="Times" w:eastAsia="Batang" w:hAnsi="Times" w:cs="Times"/>
      <w:szCs w:val="24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56357"/>
    <w:pPr>
      <w:overflowPunct/>
      <w:autoSpaceDE/>
      <w:autoSpaceDN/>
      <w:adjustRightInd/>
      <w:spacing w:after="0"/>
      <w:ind w:leftChars="400" w:left="840" w:hanging="1440"/>
      <w:jc w:val="left"/>
      <w:textAlignment w:val="auto"/>
    </w:pPr>
    <w:rPr>
      <w:rFonts w:ascii="Times" w:eastAsia="Batang" w:hAnsi="Times" w:cs="Times"/>
      <w:szCs w:val="24"/>
      <w:lang w:eastAsia="en-US"/>
    </w:rPr>
  </w:style>
  <w:style w:type="character" w:customStyle="1" w:styleId="IvDInstructiontextChar">
    <w:name w:val="IvD Instructiontext Char"/>
    <w:link w:val="IvDInstructiontext"/>
    <w:uiPriority w:val="99"/>
    <w:locked/>
    <w:rsid w:val="00F0610B"/>
    <w:rPr>
      <w:rFonts w:ascii="Arial" w:hAnsi="Arial" w:cs="Arial"/>
      <w:i/>
      <w:color w:val="7F7F7F" w:themeColor="text1" w:themeTint="80"/>
      <w:spacing w:val="2"/>
      <w:sz w:val="18"/>
      <w:szCs w:val="18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F0610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locked/>
    <w:rsid w:val="00F0610B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F0610B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cs="Arial"/>
      <w:spacing w:val="2"/>
      <w:lang w:val="en-US" w:eastAsia="en-US"/>
    </w:rPr>
  </w:style>
  <w:style w:type="paragraph" w:styleId="Revision">
    <w:name w:val="Revision"/>
    <w:hidden/>
    <w:uiPriority w:val="99"/>
    <w:semiHidden/>
    <w:rsid w:val="00B519BD"/>
    <w:rPr>
      <w:rFonts w:ascii="Arial" w:hAnsi="Arial"/>
      <w:lang w:val="en-GB" w:eastAsia="zh-CN"/>
    </w:rPr>
  </w:style>
  <w:style w:type="paragraph" w:customStyle="1" w:styleId="TdocHeader2">
    <w:name w:val="Tdoc_Header_2"/>
    <w:basedOn w:val="Normal"/>
    <w:rsid w:val="002C7218"/>
    <w:pPr>
      <w:widowControl w:val="0"/>
      <w:tabs>
        <w:tab w:val="left" w:pos="1701"/>
        <w:tab w:val="right" w:pos="9072"/>
        <w:tab w:val="right" w:pos="10206"/>
      </w:tabs>
      <w:overflowPunct/>
      <w:autoSpaceDE/>
      <w:autoSpaceDN/>
      <w:adjustRightInd/>
      <w:spacing w:after="0" w:line="259" w:lineRule="auto"/>
      <w:jc w:val="left"/>
      <w:textAlignment w:val="auto"/>
    </w:pPr>
    <w:rPr>
      <w:rFonts w:asciiTheme="minorHAnsi" w:eastAsia="Batang" w:hAnsiTheme="minorHAnsi" w:cstheme="minorBidi"/>
      <w:b/>
      <w:sz w:val="18"/>
      <w:szCs w:val="22"/>
      <w:lang w:val="en-US" w:eastAsia="en-US"/>
    </w:rPr>
  </w:style>
  <w:style w:type="character" w:customStyle="1" w:styleId="ReferenceChar">
    <w:name w:val="Reference Char"/>
    <w:link w:val="Reference"/>
    <w:rsid w:val="002C7218"/>
    <w:rPr>
      <w:rFonts w:ascii="Arial" w:hAnsi="Arial"/>
      <w:lang w:val="en-GB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17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40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5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969592">
          <w:marLeft w:val="197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708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83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7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6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70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0615050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097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744128">
          <w:marLeft w:val="835"/>
          <w:marRight w:val="0"/>
          <w:marTop w:val="6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26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22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70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07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1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719385">
          <w:marLeft w:val="27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06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24435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93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92068">
          <w:marLeft w:val="274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321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9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91976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008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9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213973">
          <w:marLeft w:val="274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71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reekar\Desktop\R2-17xxxxx%20-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1" ma:contentTypeDescription="EriCOLL Document Content Type" ma:contentTypeScope="" ma:versionID="8a1b881ce5e7f0731cf067e8f75bb276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db994087446fb0f03c6fc3f94ac678d1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TaxCatchAll xmlns="d8762117-8292-4133-b1c7-eab5c6487cfd">
      <Value>8</Value>
      <Value>7</Value>
      <Value>6</Value>
      <Value>5</Value>
      <Value>4</Value>
    </TaxCatchAll>
    <EriCOLLProcessTaxHTField0 xmlns="d8762117-8292-4133-b1c7-eab5c6487cfd">
      <Terms xmlns="http://schemas.microsoft.com/office/infopath/2007/PartnerControls"/>
    </EriCOLLProcessTaxHTField0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GFTE ER Radio Access Technologies</TermName>
          <TermId xmlns="http://schemas.microsoft.com/office/infopath/2007/PartnerControls">692a7af5-c1f7-4d68-b1ab-a7920dfecb78</TermId>
        </TermInfo>
      </Terms>
    </EriCOLLOrganizationUnitTaxHTField0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Research</TermName>
          <TermId xmlns="http://schemas.microsoft.com/office/infopath/2007/PartnerControls">7f1f7aab-c784-40ec-8666-825d2ac7abef</TermId>
        </TermInfo>
      </Terms>
    </EriCOLLCategoryTaxHTField0>
    <EriCOLLProductsTaxHTField0 xmlns="d8762117-8292-4133-b1c7-eab5c6487cfd">
      <Terms xmlns="http://schemas.microsoft.com/office/infopath/2007/PartnerControls"/>
    </EriCOLLProducts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_dlc_DocId xmlns="f166a696-7b5b-4ccd-9f0c-ffde0cceec81">5NUHHDQN7SK2-1-178444</_dlc_DocId>
    <_dlc_DocIdUrl xmlns="f166a696-7b5b-4ccd-9f0c-ffde0cceec81">
      <Url>https://ericsson.sharepoint.com/sites/star/_layouts/15/DocIdRedir.aspx?ID=5NUHHDQN7SK2-1-178444</Url>
      <Description>5NUHHDQN7SK2-1-178444</Description>
    </_dlc_DocIdUrl>
    <_dlc_DocIdPersistId xmlns="f166a696-7b5b-4ccd-9f0c-ffde0cceec81" xsi:nil="true"/>
    <Prepared. xmlns="611109f9-ed58-4498-a270-1fb2086a5321" xsi:nil="true"/>
    <EriCOLLDate. xmlns="611109f9-ed58-4498-a270-1fb2086a5321" xsi:nil="true"/>
    <TaxCatchAllLabel xmlns="d8762117-8292-4133-b1c7-eab5c6487cfd"/>
    <AbstractOrSummary. xmlns="611109f9-ed58-4498-a270-1fb2086a5321" xsi:nil="true"/>
    <IconOverlay xmlns="http://schemas.microsoft.com/sharepoint/v4" xsi:nil="true"/>
  </documentManagement>
</p:propertie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LongProperties xmlns="http://schemas.microsoft.com/office/2006/metadata/longProperties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B2032-380F-4044-B161-635798DAA53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95D044E-DEF4-44A0-9715-94CD62B64AD4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f166a696-7b5b-4ccd-9f0c-ffde0cceec81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E21501B6-39B7-462E-BC8A-8B6B05599596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9F5946CB-8946-499C-8B44-7DE1A592D1D0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BEE23EE5-5864-4ADF-A848-295F30FA12F3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A36B76EA-7325-4B2D-8A6F-DF956586CDB2}">
  <ds:schemaRefs>
    <ds:schemaRef ds:uri="http://schemas.microsoft.com/sharepoint/events"/>
  </ds:schemaRefs>
</ds:datastoreItem>
</file>

<file path=customXml/itemProps7.xml><?xml version="1.0" encoding="utf-8"?>
<ds:datastoreItem xmlns:ds="http://schemas.openxmlformats.org/officeDocument/2006/customXml" ds:itemID="{F1AB8DA7-7454-46AB-BF83-8C41BFBC62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R2-17xxxxx - Contribution Template</Template>
  <TotalTime>0</TotalTime>
  <Pages>3</Pages>
  <Words>765</Words>
  <Characters>4366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5121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Reem Karaki</dc:creator>
  <cp:keywords>TDoc; Ericsson; 3GPP</cp:keywords>
  <dc:description/>
  <cp:lastModifiedBy>Reem Karaki</cp:lastModifiedBy>
  <cp:revision>10</cp:revision>
  <cp:lastPrinted>2008-01-31T16:09:00Z</cp:lastPrinted>
  <dcterms:created xsi:type="dcterms:W3CDTF">2018-02-07T00:04:00Z</dcterms:created>
  <dcterms:modified xsi:type="dcterms:W3CDTF">2018-02-16T10:27:00Z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2010-01-07T23:00:00Z</vt:filetime>
  </property>
  <property fmtid="{D5CDD505-2E9C-101B-9397-08002B2CF9AE}" pid="3" name="TaxKeyword">
    <vt:lpwstr>6;#3GPP|76073510-bd0d-418e-b921-a79baa36539a;#8;#Ericsson|96dc0346-57d1-49d7-95a4-5992fb9ef59a;#7;#TDoc|70e00669-d53e-4f11-86e9-5b5799f0aab1</vt:lpwstr>
  </property>
  <property fmtid="{D5CDD505-2E9C-101B-9397-08002B2CF9AE}" pid="4" name="_dlc_DocId">
    <vt:lpwstr>5NUHHDQN7SK2-1-562</vt:lpwstr>
  </property>
  <property fmtid="{D5CDD505-2E9C-101B-9397-08002B2CF9AE}" pid="5" name="_dlc_DocIdItemGuid">
    <vt:lpwstr>d49ceaf1-5f66-42eb-a9b4-65f854fd4a2e</vt:lpwstr>
  </property>
  <property fmtid="{D5CDD505-2E9C-101B-9397-08002B2CF9AE}" pid="6" name="_dlc_DocIdUrl">
    <vt:lpwstr>https://ericoll.internal.ericsson.com/sites/STAR/_layouts/DocIdRedir.aspx?ID=5NUHHDQN7SK2-1-562, 5NUHHDQN7SK2-1-562</vt:lpwstr>
  </property>
  <property fmtid="{D5CDD505-2E9C-101B-9397-08002B2CF9AE}" pid="7" name="EriCOLLCategory">
    <vt:lpwstr>4;#Research|7f1f7aab-c784-40ec-8666-825d2ac7abef</vt:lpwstr>
  </property>
  <property fmtid="{D5CDD505-2E9C-101B-9397-08002B2CF9AE}" pid="8" name="EriCOLLOrganizationUnit">
    <vt:lpwstr>5;#GFTE ER Radio Access Technologies|692a7af5-c1f7-4d68-b1ab-a7920dfecb78</vt:lpwstr>
  </property>
  <property fmtid="{D5CDD505-2E9C-101B-9397-08002B2CF9AE}" pid="9" name="EriCOLLProjects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Customer">
    <vt:lpwstr/>
  </property>
  <property fmtid="{D5CDD505-2E9C-101B-9397-08002B2CF9AE}" pid="13" name="EriCOLLProducts">
    <vt:lpwstr/>
  </property>
  <property fmtid="{D5CDD505-2E9C-101B-9397-08002B2CF9AE}" pid="14" name="EriCOLLCountry">
    <vt:lpwstr/>
  </property>
  <property fmtid="{D5CDD505-2E9C-101B-9397-08002B2CF9AE}" pid="15" name="ContentTypeId">
    <vt:lpwstr>0x010100C5F30C9B16E14C8EACE5F2CC7B7AC7F400F5862E332FC6CE449700A00A9FC83FBA</vt:lpwstr>
  </property>
  <property fmtid="{D5CDD505-2E9C-101B-9397-08002B2CF9AE}" pid="16" name="URL">
    <vt:lpwstr/>
  </property>
  <property fmtid="{D5CDD505-2E9C-101B-9397-08002B2CF9AE}" pid="17" name="Comments">
    <vt:lpwstr/>
  </property>
</Properties>
</file>